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Siew Wing Keong</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JinkoSolar Holding Co.,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JKS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0" w:type="dxa"/>
            <w:vAlign w:val="bottom"/>
            <w:tcBorders>
              <w:top w:val="single" w:sz="8" w:color="EEEEEE"/>
            </w:tcBorders>
          </w:tcPr>
          <w:p>
            <w:pPr>
              <w:spacing w:after="0"/>
              <w:rPr>
                <w:sz w:val="4"/>
                <w:szCs w:val="4"/>
                <w:color w:val="auto"/>
              </w:rPr>
            </w:pPr>
          </w:p>
        </w:tc>
        <w:tc>
          <w:tcPr>
            <w:tcW w:w="7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 YINGBIN ROAD</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SHANGRAO ECONOMIC DEVELOPMENT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0000FF"/>
              </w:rPr>
              <w:t>ZONE</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6"/>
                <w:szCs w:val="16"/>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JIANGXI</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F4</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334100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gridSpan w:val="2"/>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9"/>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5"/>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Ordinary Shares (represented by</w:t>
            </w:r>
          </w:p>
        </w:tc>
        <w:tc>
          <w:tcPr>
            <w:tcW w:w="1760" w:type="dxa"/>
            <w:vAlign w:val="bottom"/>
            <w:gridSpan w:val="5"/>
            <w:vMerge w:val="restart"/>
          </w:tcPr>
          <w:p>
            <w:pPr>
              <w:ind w:left="78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16,000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16.49</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170,000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76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00" w:type="dxa"/>
            <w:vAlign w:val="bottom"/>
            <w:tcBorders>
              <w:bottom w:val="single" w:sz="8" w:color="2C2C2C"/>
            </w:tcBorders>
            <w:gridSpan w:val="6"/>
            <w:vMerge w:val="continue"/>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78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59"/>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10,000</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3"/>
          </w:tcPr>
          <w:p>
            <w:pPr>
              <w:jc w:val="center"/>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(3)</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10,000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four ordinary shares of the Issuer, par value US$0.00002 per share.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the price of each ADS sold. This transaction was executed in one single trade at the price of US$16.49.</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time-based restricted shares. Each restricted share represents a contingent right to receive one ordinary share of the Issuer. These time-based restricted shares were granted by the Issuer on January 5, 2023 pursuant to 2023 Equity Incentive Plan, which vested in full on July 1, 2026. These restricted shares are being reported for the first time on this Form 4 in connection with their vesting.</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Siew Wing Keong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07/02/2026</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5403" TargetMode="External"/><Relationship Id="rId14" Type="http://schemas.openxmlformats.org/officeDocument/2006/relationships/hyperlink" Target="http://www.sec.gov/cgi-bin/browse-edgar?action=getcompany&amp;CIK=00014815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2026-07-02T07:12:41Z</dcterms:created>
  <dcterms:modified xsi:type="dcterms:W3CDTF">2026-07-02T07:12:41Z</dcterms:modified>
</cp:coreProperties>
</file>