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October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001-34615</w:t>
      </w:r>
    </w:p>
    <w:p>
      <w:pPr>
        <w:spacing w:after="0" w:line="2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Jinko Holdings Limited</w:t>
      </w:r>
    </w:p>
    <w:p>
      <w:pPr>
        <w:spacing w:after="0" w:line="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 Yingbin Road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Shangrao Economic Development Zone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Jiangxi Province, 334100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spacing w:after="0" w:line="207" w:lineRule="exact"/>
        <w:tabs>
          <w:tab w:leader="none" w:pos="20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91"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00" w:type="dxa"/>
            <w:vAlign w:val="bottom"/>
            <w:gridSpan w:val="3"/>
          </w:tcPr>
          <w:p>
            <w:pPr>
              <w:ind w:left="37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24"/>
                <w:szCs w:val="24"/>
                <w:color w:val="auto"/>
              </w:rPr>
            </w:pPr>
          </w:p>
        </w:tc>
        <w:tc>
          <w:tcPr>
            <w:tcW w:w="101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169"/>
        </w:trPr>
        <w:tc>
          <w:tcPr>
            <w:tcW w:w="320" w:type="dxa"/>
            <w:vAlign w:val="bottom"/>
            <w:tcBorders>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20" w:type="dxa"/>
            <w:vAlign w:val="bottom"/>
            <w:tcBorders>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9"/>
              </w:rPr>
              <w:t>Press Release - Jinko Holdings Announces Third Quarter 2026 Financial Results</w:t>
            </w:r>
          </w:p>
        </w:tc>
        <w:tc>
          <w:tcPr>
            <w:tcW w:w="4280" w:type="dxa"/>
            <w:vAlign w:val="bottom"/>
            <w:gridSpan w:val="2"/>
          </w:tcPr>
          <w:p>
            <w:pPr>
              <w:spacing w:after="0"/>
              <w:rPr>
                <w:sz w:val="14"/>
                <w:szCs w:val="14"/>
                <w:color w:val="auto"/>
              </w:rPr>
            </w:pPr>
          </w:p>
        </w:tc>
      </w:tr>
      <w:tr>
        <w:trPr>
          <w:trHeight w:val="196"/>
        </w:trPr>
        <w:tc>
          <w:tcPr>
            <w:tcW w:w="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Press Release - Jinko Holdings Announces Change of Chief Financial Officer and Appointment of New Director</w:t>
            </w:r>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20" w:type="dxa"/>
            <w:vAlign w:val="bottom"/>
            <w:tcBorders>
              <w:top w:val="single" w:sz="8" w:color="0000EE"/>
              <w:bottom w:val="single" w:sz="8" w:color="auto"/>
            </w:tcBorders>
          </w:tcPr>
          <w:p>
            <w:pPr>
              <w:spacing w:after="0"/>
              <w:rPr>
                <w:sz w:val="24"/>
                <w:szCs w:val="24"/>
                <w:color w:val="auto"/>
              </w:rPr>
            </w:pPr>
          </w:p>
        </w:tc>
        <w:tc>
          <w:tcPr>
            <w:tcW w:w="2300" w:type="dxa"/>
            <w:vAlign w:val="bottom"/>
            <w:tcBorders>
              <w:top w:val="single" w:sz="8" w:color="0000EE"/>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Jinko Holdings Limited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Kun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Kun Zhang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Acting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Jinko Holdings Announces Third Quarter 2026 Financial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10/30/2026</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SHANGRAO, China, Oct. 30, 2026 /PRNewswire/ -- Jinko Holdings Limited (“Jinko Holdings” or the “Company”) (NYSE: JKS), today announced its unaudited financial results for the third quarter ended September 30,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2026 Business Highlights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Core Solar and Energy Storage Business Highlights</w:t>
      </w:r>
    </w:p>
    <w:p>
      <w:pPr>
        <w:spacing w:after="0" w:line="229" w:lineRule="exact"/>
        <w:rPr>
          <w:sz w:val="20"/>
          <w:szCs w:val="20"/>
          <w:color w:val="auto"/>
        </w:rPr>
      </w:pPr>
    </w:p>
    <w:p>
      <w:pPr>
        <w:ind w:left="660" w:right="80" w:hanging="328"/>
        <w:spacing w:after="0" w:line="260"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Continued to optimize product mix, with shipments of Tiger Neo 3.0 modules exceeding 5 GW during the quarter and commanding a premium of approximately US$0.01/W over conventional modules.</w:t>
      </w:r>
    </w:p>
    <w:p>
      <w:pPr>
        <w:spacing w:after="0" w:line="1" w:lineRule="exact"/>
        <w:rPr>
          <w:rFonts w:ascii="Arial" w:cs="Arial" w:eastAsia="Arial" w:hAnsi="Arial"/>
          <w:sz w:val="18"/>
          <w:szCs w:val="18"/>
          <w:b w:val="1"/>
          <w:bCs w:val="1"/>
          <w:color w:val="auto"/>
        </w:rPr>
      </w:pPr>
    </w:p>
    <w:p>
      <w:pPr>
        <w:ind w:left="660" w:right="20" w:hanging="328"/>
        <w:spacing w:after="0" w:line="249"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Launched the next-generation Tiger Neo 5.0 all-black premium residential module, based on the TAC technology platform, featuring power output of up to 510 W and module efficiency of up to 25.52%.</w:t>
      </w:r>
    </w:p>
    <w:p>
      <w:pPr>
        <w:spacing w:after="0" w:line="1" w:lineRule="exact"/>
        <w:rPr>
          <w:rFonts w:ascii="Arial" w:cs="Arial" w:eastAsia="Arial" w:hAnsi="Arial"/>
          <w:sz w:val="18"/>
          <w:szCs w:val="18"/>
          <w:b w:val="1"/>
          <w:bCs w:val="1"/>
          <w:color w:val="auto"/>
        </w:rPr>
      </w:pPr>
    </w:p>
    <w:p>
      <w:pPr>
        <w:ind w:left="660" w:right="700" w:hanging="328"/>
        <w:spacing w:after="0" w:line="259"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Recognized approximately 1.75 GWh of energy storage system (ESS) shipments as revenue, with profitability of energy storage business improving both year over year and sequentially.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Investment Highlights</w:t>
      </w:r>
    </w:p>
    <w:p>
      <w:pPr>
        <w:spacing w:after="0" w:line="229" w:lineRule="exact"/>
        <w:rPr>
          <w:sz w:val="20"/>
          <w:szCs w:val="20"/>
          <w:color w:val="auto"/>
        </w:rPr>
      </w:pPr>
    </w:p>
    <w:p>
      <w:pPr>
        <w:ind w:left="660" w:right="300" w:hanging="328"/>
        <w:spacing w:after="0" w:line="255"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Continued to invest in semiconductors, artificial intelligence (AI), energy storage and other frontier technologies, with total new and follow-on investments of approximately RMB330 million in the third quarter, of which approximately RMB254 million was the Company’s capital. Investments included KiwiMoore, a provider of full-stack AI networking products and solutions specializing in advanced Chiplet and chip interconnect technologies, and TIGSTOR, a company focused on the development and application of supercapacitor technologies.</w:t>
      </w:r>
    </w:p>
    <w:p>
      <w:pPr>
        <w:spacing w:after="0" w:line="1" w:lineRule="exact"/>
        <w:rPr>
          <w:rFonts w:ascii="Arial" w:cs="Arial" w:eastAsia="Arial" w:hAnsi="Arial"/>
          <w:sz w:val="18"/>
          <w:szCs w:val="18"/>
          <w:b w:val="1"/>
          <w:bCs w:val="1"/>
          <w:color w:val="auto"/>
        </w:rPr>
      </w:pPr>
    </w:p>
    <w:p>
      <w:pPr>
        <w:ind w:left="660" w:right="580" w:hanging="328"/>
        <w:spacing w:after="0" w:line="249"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Completed the exit from the investment in LAPLACE Renewable Energy Technology Co., Ltd. (“LAPLACE”), generating additional cash proceeds of approximately RMB38.7 million upon the divestment of the remaining equity interest in LAPLACE.</w:t>
      </w:r>
    </w:p>
    <w:p>
      <w:pPr>
        <w:spacing w:after="0" w:line="1" w:lineRule="exact"/>
        <w:rPr>
          <w:rFonts w:ascii="Arial" w:cs="Arial" w:eastAsia="Arial" w:hAnsi="Arial"/>
          <w:sz w:val="18"/>
          <w:szCs w:val="18"/>
          <w:b w:val="1"/>
          <w:bCs w:val="1"/>
          <w:color w:val="auto"/>
        </w:rPr>
      </w:pPr>
    </w:p>
    <w:p>
      <w:pPr>
        <w:ind w:left="660" w:right="140" w:hanging="328"/>
        <w:spacing w:after="0" w:line="250"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Portfolio companies continued to make progress during the quarter. SiliconFlow completed the second tranche of its Series B+ financing round and its Series C financing round in September 2026. In addition, StepFun launched its STEPX terminal brand and related AI terminal products in July, further expanding the application of large language models in end-user devices.</w:t>
      </w: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More recently, Adaspace Technology, another of our portfolio companies, passed the listing hearing of the Hong Kong Stock Exchange.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2026 Operational and Financial Highlights</w:t>
      </w:r>
    </w:p>
    <w:p>
      <w:pPr>
        <w:spacing w:after="0" w:line="22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Quarterly shipments of solar modules were 15,003 MW, down 6.0% sequentially and 25.0% year-over-year.</w:t>
      </w:r>
    </w:p>
    <w:p>
      <w:pPr>
        <w:spacing w:after="0" w:line="26"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Total revenues were RMB13.62 billion (US$2.03 billion), up 10.2% sequentially and down 15.7% year-over-year.</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Gross profit was RMB1.67 billion (US$249.3 million), up 225.7% sequentially and 41.4% year-over-year.</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Gross profit margin was 12.3%, compared with gross profit margin of 4.2% in Q2 2026 and gross profit margin of 7.3% in Q3 2025.</w:t>
      </w:r>
    </w:p>
    <w:p>
      <w:pPr>
        <w:spacing w:after="0" w:line="8" w:lineRule="exact"/>
        <w:rPr>
          <w:rFonts w:ascii="Arial" w:cs="Arial" w:eastAsia="Arial" w:hAnsi="Arial"/>
          <w:sz w:val="18"/>
          <w:szCs w:val="18"/>
          <w:b w:val="1"/>
          <w:bCs w:val="1"/>
          <w:color w:val="auto"/>
        </w:rPr>
      </w:pPr>
    </w:p>
    <w:p>
      <w:pPr>
        <w:ind w:left="660" w:right="540" w:hanging="328"/>
        <w:spacing w:after="0" w:line="250"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Net loss attributable to Jinko Holdings Limited’s ordinary shareholders was RMB170.0 million (US$25.4 million), compared with net loss attributable to Jinko Holdings Limited’s ordinary shareholders of RMB697.3 million in Q2 2026 and net loss attributable to Jinko Holdings Limited’s ordinary shareholders of RMB749.8 million in Q3 2025.</w:t>
      </w:r>
    </w:p>
    <w:p>
      <w:pPr>
        <w:ind w:left="660" w:right="140" w:hanging="328"/>
        <w:spacing w:after="0" w:line="250"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Adjusted net loss attributable to Jinko Holdings Limited’s ordinary shareholders was RMB7.9 million (US$1.2 million), which excludes the impact of (i) the change in fair value of long-term investment, (ii) gain from disposal of subsidiaries, (iii) the impairment of long-lived assets and (iv) share-based compensation expenses, compared with adjusted net loss attributable to Jinko Holdings Limited’s ordinary shareholders of RMB906.2 million in Q2 2026 and adjusted net loss attributable to Jinko Holdings Limited’s ordinary shareholders of RMB409.1 million in Q3 2025.</w:t>
      </w:r>
    </w:p>
    <w:p>
      <w:pPr>
        <w:spacing w:after="0" w:line="1" w:lineRule="exact"/>
        <w:rPr>
          <w:rFonts w:ascii="Arial" w:cs="Arial" w:eastAsia="Arial" w:hAnsi="Arial"/>
          <w:sz w:val="18"/>
          <w:szCs w:val="18"/>
          <w:b w:val="1"/>
          <w:bCs w:val="1"/>
          <w:color w:val="auto"/>
        </w:rPr>
      </w:pPr>
    </w:p>
    <w:p>
      <w:pPr>
        <w:ind w:left="660" w:right="20" w:hanging="328"/>
        <w:spacing w:after="0" w:line="259"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Basic and diluted losses per ordinary share were RMB0.80 (US$0.12) and RMB0.80 (US$0.12), respectively. This translates into basic and diluted losses per ADS of RMB3.20 (US$0.48) and RMB3.20 (US$0.48),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ind w:right="40"/>
        <w:spacing w:after="0" w:line="256" w:lineRule="auto"/>
        <w:rPr>
          <w:sz w:val="20"/>
          <w:szCs w:val="20"/>
          <w:color w:val="auto"/>
        </w:rPr>
      </w:pPr>
      <w:r>
        <w:rPr>
          <w:rFonts w:ascii="Times New Roman" w:cs="Times New Roman" w:eastAsia="Times New Roman" w:hAnsi="Times New Roman"/>
          <w:sz w:val="18"/>
          <w:szCs w:val="18"/>
          <w:color w:val="auto"/>
        </w:rPr>
        <w:t>Mr. Dimi Du, Jinko Holdings’ Chief Executive Officer, commented, “In the third quarter, the measures we put in place to optimize our order book and product mix began to deliver results. Module shipments were 15.0 GW, with overseas markets accounting for around 70% of the total, as we continued to execute an operating strategy that balances shipment volume and profitability. Shipments of our Tiger Neo 3.0 modules exceeded 5 GW during the quarter, commanding a premium of approximately 1 US cent per watt over conventional modules. Benefiting from higher shipments of high-efficiency products, the continued cost optimization of TOPCon 3.0 and improved profitability in our energy storage business, our gross margin rose to 12.3% from 4.2% in the second quarter, while our net loss narrowed significantly both sequentially and year-over-year.</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PV industry remains at a critical stage of supply and demand adjustment, and its shift from production capacity and shipment scale toward effective supply, product value and earnings quality continues. As the relevant national authorities promote the orderly and well-regulated development of the industry through stricter standards and higher technical and energy efficiency requirements, we expect less efficient capacity to be gradually phased out and competition to focus more on technological innovation, product quality and customer value. This shift reinforces our focus on high-efficiency products, the disciplined buildout of capacity, and delivering greater customer value across global markets.</w:t>
      </w:r>
    </w:p>
    <w:p>
      <w:pPr>
        <w:spacing w:after="0" w:line="18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line with this focus, we expect to have approximately 40 GW of high-efficiency production capacity meeting the Level 1 national energy efficiency requirements by the end of 2026, as the capacity ramp-up for Tiger Neo 3.0 progresses and production costs continue to improve. We believe technological innovation creates the most value when it meets customer needs across different application scenarios and delivers tangible economic benefits at scale. Following the launch of our Tiger Neo 5.0 module in June, we recently introduced the Tiger Neo 5.0 all-black premium residential module. Built on our TAC technology platform, it delivers power output of up to 510 W and module efficiency of up to 25.52%. We will focus this product on the global premium distributed PV market, particularly residential rooftop applications, and plan to ramp up production and shipments gradually over the next two years in line with market demand and industry conditions.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energy storage business generated a notable increase in scale and improved profitability during the quarter, with approximately 1.75 GWh of shipments recognized as revenue, matching the total for full year 2025. We are advancing the application of our proprietary PCS products, exploring opportunities in emerging scenarios such as data centers, and deepening the synergies between solar and storage across customer resources, sales channels and technical services, to deliver more sustainable growth and profit contribution going forward.</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completion of our recent name change to Jinko Holdings Limited marks a new starting point in our development. While the long-term development of our core solar and energy storage businesses remains our top priority, we are taking a more open and disciplined approach to opportunities in AI, renewable energy, advanced materials, commercial space and other frontier technologies, with our investment platform serving as a complementary driver of long-term value creation. During the third quarter, we made new and follow-on investments of approximately RMB330 million, of which approximately RMB254 million was our own capital, including in KiwiMoore, which specializes in advanced chiplet and chip interconnect technologies, and TIGSTOR, which develops supercapacitor technologies. Several of our portfolio companies also completed significant financing rounds during the quarter, including SiliconFlow, while StepFun also launched its STEPX terminal brand and related AI terminal products in July, further extending the application of its large language models in end-user devices. More recently, Adaspace Technology, another of our portfolio companies, passed the listing hearing of the Hong Kong Stock Exchange.</w:t>
      </w:r>
    </w:p>
    <w:p>
      <w:pPr>
        <w:spacing w:after="0" w:line="18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As of the end of the third quarter of 2026, the fair value of our strategic investment portfolio was approximately RMB2.05 billion. During the first nine months of 2026, our portfolio generated gains of approximately RMB327.2 million, comprising approximately RMB82.3 million in realized gains and approximately RMB244.9 million in unrealized fair value gains. Over the same period, portfolio exits generated approximately RMB386.4 million in cash proceeds. Notably, having divested a substantial portion of our equity interest in LAPLACE in the first half, we completed our exit from the remaining interest in the third quarter, generating additional cash proceeds of approximately RMB38.7 million. Our initial investment cost in LAPLACE was approximately RMB65.0 million and the investment generated cumulative gains of approximately RMB356.8 million. We will remain selective, balancing new investments against exits and improving capital utilization efficiency.</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Looking ahead, we will build on three core pillars, namely technological innovation, globalization and AI transformation, to drive integrated solar-plus-storage development. We will continue to balance shipment volume and profitability, optimize our product and order book mix, and maintain strict control over capital expenditure to make the improvement in our operating performance more sustainable. For the fourth quarter of 2026, we expect module shipments to be between 16 GW and 18 GW. For full year 2026, we expect energy storage system shipments of approximately 10 GWh on a proof-of-delivery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2026 Financial Results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Revenues</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Total revenues in the third quarter of 2026 were RMB13.62 billion (US$2.03 billion), representing an increase of 10.2% from RMB12.36 billion in the second quarter of 2026 and a decrease of 15.7% from RMB16.16 billion in the third quarter of 2025. The sequential increase was mainly attributable to the growth in revenue generated from the sale of energy storage systems and an increase in average selling price of solar modules, while the year-over-year decrease was primarily due to a decrease in the shipment volume of solar modules.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and Gross Margin</w:t>
      </w:r>
    </w:p>
    <w:p>
      <w:pPr>
        <w:spacing w:after="0" w:line="22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Gross profit in the third quarter of 2026 was RMB1.67 billion (US$249.3 million), compared with gross profit of RMB513.1 million in the second quarter of 2026 and gross profit of RMB1.18 billion in the third quarter of 2025.</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Gross profit margin was 12.3% in the third quarter of 2026, compared with gross profit margin of 4.2% in the second quarter of 2026 and gross profit margin of 7.3% in the third quarter of 2025. The sequential and year-over-year increases were mainly driven by continuous cost optimization in the Company’s high-efficiency production lines, together with an increased share of high-efficiency product shipments, and greater contribution from higher-margin energy storage system revenue.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Operations and Operating Margin</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Loss from operations in the third quarter of 2026 was RMB80.0 million (US$11.9 million), compared with loss from operations of RMB1.44 billion in the second quarter of 2026 and loss from operations of RMB1.40 billion in the third quarter of 2025. The sequential improvement was primarily attributable to</w:t>
      </w:r>
    </w:p>
    <w:p>
      <w:pPr>
        <w:sectPr>
          <w:pgSz w:w="11900" w:h="16838" w:orient="portrait"/>
          <w:cols w:equalWidth="0" w:num="1">
            <w:col w:w="11240"/>
          </w:cols>
          <w:pgMar w:left="320" w:top="688" w:right="339" w:bottom="0" w:gutter="0" w:footer="0" w:header="0"/>
        </w:sectPr>
      </w:pPr>
    </w:p>
    <w:bookmarkStart w:id="5" w:name="page6"/>
    <w:bookmarkEnd w:id="5"/>
    <w:p>
      <w:pPr>
        <w:spacing w:after="0" w:line="282" w:lineRule="auto"/>
        <w:rPr>
          <w:sz w:val="20"/>
          <w:szCs w:val="20"/>
          <w:color w:val="auto"/>
        </w:rPr>
      </w:pPr>
      <w:r>
        <w:rPr>
          <w:rFonts w:ascii="Times New Roman" w:cs="Times New Roman" w:eastAsia="Times New Roman" w:hAnsi="Times New Roman"/>
          <w:sz w:val="18"/>
          <w:szCs w:val="18"/>
          <w:color w:val="auto"/>
        </w:rPr>
        <w:t>the increase in our gross profit in the third quarter of 2026, while the year-over-year improvement was primarily due to the decrease in our operating expenses in the third quarter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ind w:right="260"/>
        <w:spacing w:after="0" w:line="282" w:lineRule="auto"/>
        <w:rPr>
          <w:sz w:val="20"/>
          <w:szCs w:val="20"/>
          <w:color w:val="auto"/>
        </w:rPr>
      </w:pPr>
      <w:r>
        <w:rPr>
          <w:rFonts w:ascii="Times New Roman" w:cs="Times New Roman" w:eastAsia="Times New Roman" w:hAnsi="Times New Roman"/>
          <w:sz w:val="18"/>
          <w:szCs w:val="18"/>
          <w:color w:val="auto"/>
        </w:rPr>
        <w:t>Operating loss margin was 0.6% in the third quarter of 2026, compared with operating loss margin of 11.6% in the second quarter of 2026 and operating loss margin of 8.7% in the third quarter of 2025.</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operating expenses in the third quarter of 2026 were RMB1.75 billion (US$261.2 million), representing a decrease of 10.2% from RMB1.95 billion in the second quarter of 2026 and a decrease of 32.3% from RMB2.59 billion in the third quarter of 2025. The sequential decrease was primarily due to lower expected credit losses in the third quarter of 2026, while the year-over-year decline was mainly due to a reduction in the impairment of long-lived assets, along with lower expected credit losses in the third quarter of 2026.</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Total operating expenses accounted for 12.9% of total revenues in the third quarter of 2026, compared to 15.8% in the second quarter of 2026 and 16.0% in the third quarter of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Expenses and Interest Income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expenses were RMB319.3 million (US$47.6 million), and interest income was RMB 67.9 million (US$10.1 million) in the third quarter of 2026.</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Net interest expenses in the third quarter of 2026 were RMB251.3 million (US$37.5 million), representing a decrease of 8.0% from RMB273.3 million in the second quarter of 2026 and an increase of 24.6% from RMB201.8 million in the third quarter of 2025. The sequential decrease was primarily due to the Company’s continued optimization of its interest-bearing debt structure and financing costs, which led to lower interest expenses, while the year-over-year increase was primarily attributable to lower interest income generated from the Company’s deposits.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Subsidy Income</w:t>
      </w:r>
    </w:p>
    <w:p>
      <w:pPr>
        <w:spacing w:after="0" w:line="227"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Subsidy income in the third quarter of 2026 was RMB385.6 million (US$57.5 million), compared with RMB201.8 million in the second quarter of 2026 and RMB358.6 million in the third quarter of 2025. The sequential and year-over-year changes were primarily attributable to the changes in government grants related to income.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(Loss)/Gain, net</w:t>
      </w:r>
    </w:p>
    <w:p>
      <w:pPr>
        <w:spacing w:after="0" w:line="22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recorded a net exchange loss of RMB228.7 million (US$34.1 million) in the third quarter of 2026, compared to a net exchange loss of RMB325.4 million in the second quarter of 2026 and a net exchange loss of RMB123.4 million in the third quarter of 2025. The sequential and year-over-year changes were mainly attributable to fluctuations in the exchange rates of the US dollar and euro against RMB in the third quarter of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Forward Contracts and Commodity Futures</w:t>
      </w:r>
    </w:p>
    <w:p>
      <w:pPr>
        <w:spacing w:after="0" w:line="22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Company recorded a net gain from change in fair value of forward contracts and commodity futures of RMB2.0 million (US$0.3 million) in the third quarter of 2026, compared to a net loss of RMB48.4 million in the second quarter of 2026 and a net gain of RMB53.0 million in the third quarter of 2025. The sequential and year-over-year changes were primarily attributable to the changes in fair value of forward contracts in the third quarter of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Long-term Investment</w:t>
      </w:r>
    </w:p>
    <w:p>
      <w:pPr>
        <w:spacing w:after="0" w:line="227"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Company holds certain equity interests in several companies operating across the semiconductors, artificial intelligence, energy storage, and other frontier technologies, which are recorded as long-term investment or available-for-sale securities and reported at fair value with changes in fair value recognized as gains or losses. As of September 30, 2026, the aggregate fair value of the Company’s strategic investments classified as long-term investments (excluding the investments accounted for under the equity method and held-to-maturity debt securities) and available-for-sale securities was RMB2.05 billion (US$305.1 million), compared with RMB1.99 billion as of June 30, 2026.</w:t>
      </w:r>
    </w:p>
    <w:p>
      <w:pPr>
        <w:spacing w:after="0" w:line="18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recognized a loss from change in fair value of long-term investment of RMB167.5 million (US$25.0 million) in the third quarter of 2026, compared with a gain of RMB370.3 million in the second quarter of 2026 and a gain of RMB60.7 million in the third quarter of 2025. The sequential and year-over-year changes were primarily due to the changes in fair value of several companies we invested in.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(Loss)/Income, Net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other income in the third quarter of 2026 was RMB79.1 million (US$11.8 million), compared with net other loss of RMB23.9 million in the second quarter of 2026 and net other loss of RMB121.8 million in the third quarter of 2025. The sequential and year-over-year changes were partially due to the changes in the fair value of financial instruments in the third quarter of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from disposal of subsidiaries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did not recognize any gain from disposal of subsidiaries in the third quarter of 2026. For the three months ended June 30, 2026, we recognized a pre-tax disposal gain of approximately RMB236.6 million in connection with the transfer of 75.1% equity interest in Jinko Solar (U.S.) Industries Inc. For the three months ended September 30, 2025, we recognized a pre-tax disposal gain of approximately RMB72.0 million in connection with the transfer of 80% equity interest in Zhejiang New Materials Co., Ltd.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 Income/(Loss) of Affiliated Companies</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indirectly holds equity interests in several affiliated companies engaged in solar business, which are accounted for using the equity method. The Company recorded equity in loss of affiliated companies of RMB10.7 million (US$1.6 million) in the third quarter of 2026, compared with equity in loss of affiliated companies of RMB78.6 million in the second quarter of 2026 and equity in income of affiliated companies of RMB2.9 million in the third quarter of 2025. The fluctuations in equity in loss or income of affiliated companies primarily arose from changes in the net loss or income of the affiliated companies.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w:t>
      </w:r>
    </w:p>
    <w:p>
      <w:pPr>
        <w:sectPr>
          <w:pgSz w:w="11900" w:h="16838" w:orient="portrait"/>
          <w:cols w:equalWidth="0" w:num="1">
            <w:col w:w="11240"/>
          </w:cols>
          <w:pgMar w:left="320" w:top="688" w:right="339" w:bottom="44" w:gutter="0" w:footer="0" w:header="0"/>
        </w:sectPr>
      </w:pPr>
    </w:p>
    <w:bookmarkStart w:id="7" w:name="page8"/>
    <w:bookmarkEnd w:id="7"/>
    <w:p>
      <w:pPr>
        <w:spacing w:after="0" w:line="282" w:lineRule="auto"/>
        <w:rPr>
          <w:sz w:val="20"/>
          <w:szCs w:val="20"/>
          <w:color w:val="auto"/>
        </w:rPr>
      </w:pPr>
      <w:r>
        <w:rPr>
          <w:rFonts w:ascii="Times New Roman" w:cs="Times New Roman" w:eastAsia="Times New Roman" w:hAnsi="Times New Roman"/>
          <w:sz w:val="18"/>
          <w:szCs w:val="18"/>
          <w:color w:val="auto"/>
        </w:rPr>
        <w:t>The Company recorded an income tax benefit of RMB117.6 million (US$17.5 million) in the third quarter of 2026, compared with income tax benefit of RMB163.7 million in the second quarter of 2026 and income tax benefit of RMB191.6 million in the third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8" w:name="page9"/>
    <w:bookmarkEnd w:id="8"/>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Attributable to Non-Controlling Interests</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Net loss attributable to non-controlling interests amounted to RMB40.2 million (US$6.0 million) in the third quarter of 2026, compared with net loss attributable to non-controlling interests of RMB569.9 million in the second quarter of 2026 and net loss attributable to non-controlling interests of RMB385.8 million in the third quarter of 2025. The sequential and year-over-year decreases were mainly attributable to the narrowing of net loss at Jiangxi Jinko, the Company’s majority-owned principal operating subsidiary.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and Losses per Share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loss attributable to Jinko Holdings Limited’s ordinary shareholders was RMB170.0 million (US$25.4 million) in the third quarter of 2026, compared with net loss attributable to Jinko Holdings Limited’s ordinary shareholders of RMB697.3 million in the second quarter of 2026 and net loss attributable to Jinko Holdings Limited’s ordinary shareholders of RMB749.8 million in the third quarter of 2025.</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Excluding the impact of (i) the change in fair value of the long-term investment, (ii) gain from disposal of subsidiaries, (iii) the impairment of long-lived assets and (iv) share-based compensation expenses, adjusted net loss attributable to Jinko Holdings Limited’s ordinary shareholders was RMB7.9 million (US$1.2 million) in the third quarter of 2026, compared with adjusted net loss attributable to Jinko Holdings Limited’s ordinary shareholders of RMB906.2 million in the second quarter of 2026 and adjusted net loss attributable to Jinko Holdings Limited’s ordinary shareholders of RMB409.1 million in the third quarter of 2025.</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Basic and diluted losses per ordinary share were RMB0.80 (US$0.12) and RMB0.80 (US$0.12), respectively, in the third quarter of 2026, compared to basic and diluted losses per ordinary share of RMB3.30 and RMB3.30, respectively, in the second quarter of 2026, and basic and diluted losses per ordinary share of RMB3.58 and RMB3.58, respectively, in the third quarter of 2025. As each ADS represents four ordinary shares, this translates into basic and diluted losses per ADS of RMB3.20 (US$0.48) and RMB3.20 (US$0.48), respectively, in the third quarter of 2026; basic and diluted losses per ADS of RMB13.19 and RMB13.19, respectively, in the second quarter of 2026; and basic and diluted losses per ADS of RMB14.32 and RMB14.32, respectively, in the third quarter of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Position</w:t>
      </w:r>
    </w:p>
    <w:p>
      <w:pPr>
        <w:spacing w:after="0" w:line="22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September 30, 2026, the Company had RMB15.56 billion (US$2.32 billion) in cash, cash equivalents, and restricted cash, compared with RMB16.94 billion as of June 30, 2026.</w:t>
      </w:r>
    </w:p>
    <w:p>
      <w:pPr>
        <w:spacing w:after="0" w:line="16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As of September 30, 2026, the Company’s net accounts receivable was RMB11.95 billion (US$1.78 billion), compared with RMB12.61 billion as of June 30,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the Company’s inventories were RMB17.61 billion (US$2.63 billion), compared with RMB16.47 billion as of June 30, 2026.</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September 30, 2026, the Company’s total interest-bearing debts were RMB45.15 billion (US$6.73 billion), compared with RMB44.90 billion as of June 30,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 and Business Outlook Highlights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Fourth Quarter and Full Year 2026 Guidance</w:t>
      </w:r>
    </w:p>
    <w:p>
      <w:pPr>
        <w:spacing w:after="0" w:line="227"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The Company’s business outlook is based on management’s current views and estimates with respect to market conditions, production capacity, the Company’s order book and the global economic environment. This outlook is subject to uncertainty on final customer demand and sale schedules. Management’s views and estimates are subject to change without notice.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fourth quarter of 2026, the Company expects its module shipments to be in the range of 16.0 GW to 18.0 GW.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full year of 2026, the Company expects its ESS shipments to be approximately 10GWh on a proof-of-delivery basis.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Solar Products Production Capacity</w:t>
      </w:r>
    </w:p>
    <w:p>
      <w:pPr>
        <w:spacing w:after="0" w:line="22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Company expects to have approximately 40 GW of high-efficiency production capacity capable of meeting Level 1 national energy efficiency requirements, by the end of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Business Developments</w:t>
      </w:r>
    </w:p>
    <w:p>
      <w:pPr>
        <w:spacing w:after="0" w:line="22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August 2026, JinkoSolar appointed new Chief Executive Officer.</w:t>
      </w:r>
    </w:p>
    <w:p>
      <w:pPr>
        <w:spacing w:after="0" w:line="26" w:lineRule="exact"/>
        <w:rPr>
          <w:rFonts w:ascii="Arial" w:cs="Arial" w:eastAsia="Arial" w:hAnsi="Arial"/>
          <w:sz w:val="18"/>
          <w:szCs w:val="18"/>
          <w:b w:val="1"/>
          <w:bCs w:val="1"/>
          <w:color w:val="auto"/>
        </w:rPr>
      </w:pPr>
    </w:p>
    <w:p>
      <w:pPr>
        <w:ind w:left="660" w:hanging="328"/>
        <w:spacing w:after="0" w:line="259" w:lineRule="auto"/>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September 2026, JinkoSolar announced proposed change of Company Name to Jinko Holdings Limited and provides strategic investment update.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Jinko Holdings’ management will host an earnings conference call on Friday, October 30, 2026 at 8:30 a.m. U.S. Eastern Time (8:30 p.m. Beijing / Hong Kong the same day).</w:t>
      </w:r>
    </w:p>
    <w:p>
      <w:pPr>
        <w:spacing w:after="0" w:line="16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Please register in advance of the conference using the link provided below. Upon registering, you will be provided with participant dial-in numbers, passcode and unique access PIN by a calendar invite.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Participant Online Registration: </w:t>
      </w:r>
      <w:r>
        <w:rPr>
          <w:rFonts w:ascii="Times New Roman" w:cs="Times New Roman" w:eastAsia="Times New Roman" w:hAnsi="Times New Roman"/>
          <w:sz w:val="18"/>
          <w:szCs w:val="18"/>
          <w:u w:val="single" w:color="auto"/>
          <w:color w:val="auto"/>
        </w:rPr>
        <w:t>https://s1.c-conf.com/diamondpass/10057970-zqexir.html</w:t>
      </w:r>
    </w:p>
    <w:p>
      <w:pPr>
        <w:spacing w:after="0" w:line="22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It will automatically direct you to the registration page of “Jinko Holdings Third Quarter 2026 Earnings Conference Call”, where you may fill in your details for RSVP.</w:t>
      </w:r>
    </w:p>
    <w:p>
      <w:pPr>
        <w:sectPr>
          <w:pgSz w:w="11900" w:h="16927" w:orient="portrait"/>
          <w:cols w:equalWidth="0" w:num="1">
            <w:col w:w="11240"/>
          </w:cols>
          <w:pgMar w:left="320" w:top="686" w:right="339" w:bottom="0" w:gutter="0" w:footer="0" w:header="0"/>
        </w:sectPr>
      </w:pPr>
    </w:p>
    <w:bookmarkStart w:id="9" w:name="page10"/>
    <w:bookmarkEnd w:id="9"/>
    <w:p>
      <w:pPr>
        <w:spacing w:after="0" w:line="282" w:lineRule="auto"/>
        <w:rPr>
          <w:sz w:val="20"/>
          <w:szCs w:val="20"/>
          <w:color w:val="auto"/>
        </w:rPr>
      </w:pPr>
      <w:r>
        <w:rPr>
          <w:rFonts w:ascii="Times New Roman" w:cs="Times New Roman" w:eastAsia="Times New Roman" w:hAnsi="Times New Roman"/>
          <w:sz w:val="18"/>
          <w:szCs w:val="18"/>
          <w:color w:val="auto"/>
        </w:rPr>
        <w:t>In the 10 minutes prior to the call start time, you may use the conference access information (including dial-in number(s), passcode and unique access PIN) provided in the calendar invite that you have received following your pre-registration.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A telephone replay of the call will be available 2 hours after the conclusion of the conference call through 23:59 U.S. Eastern Time, November 6,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dial-in details for the replay are as follows: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+61 7 3107 6325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+1 855 883 1031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Passcode:      10057970</w:t>
      </w:r>
    </w:p>
    <w:p>
      <w:pPr>
        <w:spacing w:after="0" w:line="207"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 xml:space="preserve">Additionally, a live and archived webcast of the conference call will be available on the Investor Relations section of Jinko Holdings’ website at </w:t>
      </w:r>
      <w:r>
        <w:rPr>
          <w:rFonts w:ascii="Times New Roman" w:cs="Times New Roman" w:eastAsia="Times New Roman" w:hAnsi="Times New Roman"/>
          <w:sz w:val="18"/>
          <w:szCs w:val="18"/>
          <w:u w:val="single" w:color="auto"/>
          <w:color w:val="auto"/>
        </w:rPr>
        <w:t>https://ir.jinkosolar.com/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Jinko Holdings Limited</w:t>
      </w:r>
    </w:p>
    <w:p>
      <w:pPr>
        <w:spacing w:after="0" w:line="229"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Jinko Holdings (NYSE: JKS) is a holding company combining clean energy industrial operations and strategic investment in emerging and frontier technologies. Its industrial foundation is a controlling interest in Jinko Solar Co., Ltd. (SSE: 688223), a global leader in clean energy technology. The Company makes disciplined strategic investments in renewable energy, advanced materials, artificial intelligence, commercial space and other frontier technologies, drawing on its industrial experience and its ability to identify emerging technologies and bring them to commercial scale.</w:t>
      </w:r>
    </w:p>
    <w:p>
      <w:pPr>
        <w:spacing w:after="0" w:line="18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Through Jinko Solar Co., Ltd., the Company distributes its solar products and sells its solutions and services to a diversified international utility, commercial and residential customer base in China, the United States, Japan, Germany, the United Kingdom, Chile, South Africa, India, Mexico, Brazil, the United Arab Emirates, Italy, Spain, France, Belgium, Netherlands, Poland, Austria, Switzerland, Greece and other countries and regions.</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Through Jinko Solar Co., Ltd., the Company has over 20 overseas subsidiaries in Japan, South Korea, Vietnam, India, Turkey, Germany, Italy, Switzerland, the United States, Mexico, and other countries, and a global sales network with sales teams in China, the United States, Canada, Brazil, Chile, Mexico, Italy, Germany, Turkey, Spain, Japan, the United Arab Emirates, Netherlands, Vietnam and India, as of September 30,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find out more, please see: </w:t>
      </w:r>
      <w:r>
        <w:rPr>
          <w:rFonts w:ascii="Times New Roman" w:cs="Times New Roman" w:eastAsia="Times New Roman" w:hAnsi="Times New Roman"/>
          <w:sz w:val="18"/>
          <w:szCs w:val="18"/>
          <w:u w:val="single" w:color="auto"/>
          <w:color w:val="auto"/>
        </w:rPr>
        <w:t>www.jinkosolar.com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Convenience Translation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conversion of Renminbi into U.S. dollars in this release, made solely for the convenience of the readers, is based on the noon buying rates in the city of New York for cable transfers of Renminbi as certified for customs purposes by the Federal Reserve Bank of New York as of September 30, 2026, which was RMB6.7045 to US$1.00. No representation is intended to imply that the Renminbi amounts could have been, or could be, converted, realized, or settled into U.S. dollars at that rate or any other rate. The percentages stated in this press release are calculated based on Renminbi.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constitute “forward-looking” statements within the meaning of Section 27A of the Securities Act of 1933, as amended, and Section 21E of the Securities Exchange Act of 1934, as amended, and as defined in the U.S. Private Securities Litigation Reform Act of 1995. These forward-looking statements can be identified by terminology such as “will,” “expects,” “anticipates,” “future,” “intends,” “plans,” “believes,” “estimates” and similar statements. Among other things, the quotations from management in this press release and the Company’s operations and business outlook, contain forward-looking statements. Such statements involve certain risks and uncertainties that could cause actual results to differ materially from those in the forward-looking statements. Further information regarding these and other risks is included in Jinko Holdings’ filings with the U.S. Securities and Exchange Commission, including its annual report on Form 20-F. Except as required by law, the Company does not undertake any obligation to update any forward-looking statements, whether as a result of new information, future events or otherwise.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China: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Stella Wang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Jinko Holdings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 21-5180-8777 ext.7806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ir@jinkosolar.com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Christian Arnell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Christensen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+852 2117 0861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christian.arnell@christensencomms.com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the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jinko@christensencomms.com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JINKO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ADS and Share data)</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40" w:type="dxa"/>
            <w:vAlign w:val="bottom"/>
            <w:gridSpan w:val="4"/>
          </w:tcPr>
          <w:p>
            <w:pPr>
              <w:jc w:val="right"/>
              <w:ind w:right="461"/>
              <w:spacing w:after="0"/>
              <w:rPr>
                <w:sz w:val="20"/>
                <w:szCs w:val="20"/>
                <w:color w:val="auto"/>
              </w:rPr>
            </w:pPr>
            <w:r>
              <w:rPr>
                <w:rFonts w:ascii="Times New Roman" w:cs="Times New Roman" w:eastAsia="Times New Roman" w:hAnsi="Times New Roman"/>
                <w:sz w:val="18"/>
                <w:szCs w:val="18"/>
                <w:color w:val="auto"/>
              </w:rPr>
              <w:t>For the quarter ended</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40" w:type="dxa"/>
            <w:vAlign w:val="bottom"/>
            <w:gridSpan w:val="8"/>
          </w:tcPr>
          <w:p>
            <w:pPr>
              <w:jc w:val="right"/>
              <w:ind w:right="860"/>
              <w:spacing w:after="0"/>
              <w:rPr>
                <w:sz w:val="20"/>
                <w:szCs w:val="20"/>
                <w:color w:val="auto"/>
              </w:rPr>
            </w:pPr>
            <w:r>
              <w:rPr>
                <w:rFonts w:ascii="Times New Roman" w:cs="Times New Roman" w:eastAsia="Times New Roman" w:hAnsi="Times New Roman"/>
                <w:sz w:val="18"/>
                <w:szCs w:val="18"/>
                <w:color w:val="auto"/>
              </w:rPr>
              <w:t>For the nine months ended</w:t>
            </w:r>
          </w:p>
        </w:tc>
        <w:tc>
          <w:tcPr>
            <w:tcW w:w="0" w:type="dxa"/>
            <w:vAlign w:val="bottom"/>
          </w:tcPr>
          <w:p>
            <w:pPr>
              <w:spacing w:after="0"/>
              <w:rPr>
                <w:sz w:val="1"/>
                <w:szCs w:val="1"/>
                <w:color w:val="auto"/>
              </w:rPr>
            </w:pPr>
          </w:p>
        </w:tc>
      </w:tr>
      <w:tr>
        <w:trPr>
          <w:trHeight w:val="223"/>
        </w:trPr>
        <w:tc>
          <w:tcPr>
            <w:tcW w:w="2860" w:type="dxa"/>
            <w:vAlign w:val="bottom"/>
          </w:tcPr>
          <w:p>
            <w:pPr>
              <w:spacing w:after="0"/>
              <w:rPr>
                <w:sz w:val="19"/>
                <w:szCs w:val="19"/>
                <w:color w:val="auto"/>
              </w:rPr>
            </w:pPr>
          </w:p>
        </w:tc>
        <w:tc>
          <w:tcPr>
            <w:tcW w:w="1200" w:type="dxa"/>
            <w:vAlign w:val="bottom"/>
            <w:tcBorders>
              <w:top w:val="single" w:sz="8" w:color="auto"/>
            </w:tcBorders>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Sep 30, 2025</w:t>
            </w:r>
          </w:p>
        </w:tc>
        <w:tc>
          <w:tcPr>
            <w:tcW w:w="1240" w:type="dxa"/>
            <w:vAlign w:val="bottom"/>
            <w:tcBorders>
              <w:top w:val="single" w:sz="8" w:color="auto"/>
            </w:tcBorders>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w w:val="97"/>
              </w:rPr>
              <w:t>June 30, 2026</w:t>
            </w:r>
          </w:p>
        </w:tc>
        <w:tc>
          <w:tcPr>
            <w:tcW w:w="2200" w:type="dxa"/>
            <w:vAlign w:val="bottom"/>
            <w:tcBorders>
              <w:top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Sep 30, 2026</w:t>
            </w:r>
          </w:p>
        </w:tc>
        <w:tc>
          <w:tcPr>
            <w:tcW w:w="200" w:type="dxa"/>
            <w:vAlign w:val="bottom"/>
          </w:tcPr>
          <w:p>
            <w:pPr>
              <w:spacing w:after="0"/>
              <w:rPr>
                <w:sz w:val="19"/>
                <w:szCs w:val="19"/>
                <w:color w:val="auto"/>
              </w:rPr>
            </w:pPr>
          </w:p>
        </w:tc>
        <w:tc>
          <w:tcPr>
            <w:tcW w:w="1200" w:type="dxa"/>
            <w:vAlign w:val="bottom"/>
            <w:tcBorders>
              <w:top w:val="single" w:sz="8" w:color="auto"/>
            </w:tcBorders>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Sep 30, 2025</w:t>
            </w:r>
          </w:p>
        </w:tc>
        <w:tc>
          <w:tcPr>
            <w:tcW w:w="2240" w:type="dxa"/>
            <w:vAlign w:val="bottom"/>
            <w:tcBorders>
              <w:top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Sep 30, 2026</w:t>
            </w:r>
          </w:p>
        </w:tc>
        <w:tc>
          <w:tcPr>
            <w:tcW w:w="10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60" w:type="dxa"/>
            <w:vAlign w:val="bottom"/>
          </w:tcPr>
          <w:p>
            <w:pPr>
              <w:spacing w:after="0"/>
              <w:rPr>
                <w:sz w:val="19"/>
                <w:szCs w:val="19"/>
                <w:color w:val="auto"/>
              </w:rPr>
            </w:pPr>
          </w:p>
        </w:tc>
        <w:tc>
          <w:tcPr>
            <w:tcW w:w="10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RMB’000</w:t>
            </w:r>
          </w:p>
        </w:tc>
        <w:tc>
          <w:tcPr>
            <w:tcW w:w="200" w:type="dxa"/>
            <w:vAlign w:val="bottom"/>
          </w:tcPr>
          <w:p>
            <w:pPr>
              <w:spacing w:after="0"/>
              <w:rPr>
                <w:sz w:val="19"/>
                <w:szCs w:val="19"/>
                <w:color w:val="auto"/>
              </w:rPr>
            </w:pPr>
          </w:p>
        </w:tc>
        <w:tc>
          <w:tcPr>
            <w:tcW w:w="10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RMB’000</w:t>
            </w:r>
          </w:p>
        </w:tc>
        <w:tc>
          <w:tcPr>
            <w:tcW w:w="200" w:type="dxa"/>
            <w:vAlign w:val="bottom"/>
          </w:tcPr>
          <w:p>
            <w:pPr>
              <w:spacing w:after="0"/>
              <w:rPr>
                <w:sz w:val="19"/>
                <w:szCs w:val="19"/>
                <w:color w:val="auto"/>
              </w:rPr>
            </w:pPr>
          </w:p>
        </w:tc>
        <w:tc>
          <w:tcPr>
            <w:tcW w:w="1200" w:type="dxa"/>
            <w:vAlign w:val="bottom"/>
            <w:tcBorders>
              <w:top w:val="single" w:sz="8" w:color="auto"/>
            </w:tcBorders>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RMB’000</w:t>
            </w:r>
          </w:p>
        </w:tc>
        <w:tc>
          <w:tcPr>
            <w:tcW w:w="10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USD’000</w:t>
            </w:r>
          </w:p>
        </w:tc>
        <w:tc>
          <w:tcPr>
            <w:tcW w:w="200" w:type="dxa"/>
            <w:vAlign w:val="bottom"/>
          </w:tcPr>
          <w:p>
            <w:pPr>
              <w:spacing w:after="0"/>
              <w:rPr>
                <w:sz w:val="19"/>
                <w:szCs w:val="19"/>
                <w:color w:val="auto"/>
              </w:rPr>
            </w:pPr>
          </w:p>
        </w:tc>
        <w:tc>
          <w:tcPr>
            <w:tcW w:w="10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RMB’000</w:t>
            </w:r>
          </w:p>
        </w:tc>
        <w:tc>
          <w:tcPr>
            <w:tcW w:w="200" w:type="dxa"/>
            <w:vAlign w:val="bottom"/>
          </w:tcPr>
          <w:p>
            <w:pPr>
              <w:spacing w:after="0"/>
              <w:rPr>
                <w:sz w:val="19"/>
                <w:szCs w:val="19"/>
                <w:color w:val="auto"/>
              </w:rPr>
            </w:pPr>
          </w:p>
        </w:tc>
        <w:tc>
          <w:tcPr>
            <w:tcW w:w="1220" w:type="dxa"/>
            <w:vAlign w:val="bottom"/>
            <w:tcBorders>
              <w:top w:val="single" w:sz="8" w:color="auto"/>
            </w:tcBorders>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RMB’000</w:t>
            </w:r>
          </w:p>
        </w:tc>
        <w:tc>
          <w:tcPr>
            <w:tcW w:w="10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USD’000</w:t>
            </w:r>
          </w:p>
        </w:tc>
        <w:tc>
          <w:tcPr>
            <w:tcW w:w="10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16,158,497</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12,356,951</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13,619,740</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2,031,432</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47,990,862</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38,225,739</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5,701,505</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8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Cost of revenues</w:t>
            </w:r>
          </w:p>
        </w:tc>
        <w:tc>
          <w:tcPr>
            <w:tcW w:w="1200" w:type="dxa"/>
            <w:vAlign w:val="bottom"/>
            <w:gridSpan w:val="2"/>
          </w:tcPr>
          <w:p>
            <w:pPr>
              <w:jc w:val="right"/>
              <w:ind w:right="61"/>
              <w:spacing w:after="0" w:line="194" w:lineRule="exact"/>
              <w:rPr>
                <w:sz w:val="20"/>
                <w:szCs w:val="20"/>
                <w:color w:val="auto"/>
              </w:rPr>
            </w:pPr>
            <w:r>
              <w:rPr>
                <w:rFonts w:ascii="Times New Roman" w:cs="Times New Roman" w:eastAsia="Times New Roman" w:hAnsi="Times New Roman"/>
                <w:sz w:val="18"/>
                <w:szCs w:val="18"/>
                <w:color w:val="auto"/>
              </w:rPr>
              <w:t>(14,976,562)</w:t>
            </w:r>
          </w:p>
        </w:tc>
        <w:tc>
          <w:tcPr>
            <w:tcW w:w="1240" w:type="dxa"/>
            <w:vAlign w:val="bottom"/>
            <w:gridSpan w:val="2"/>
          </w:tcPr>
          <w:p>
            <w:pPr>
              <w:jc w:val="right"/>
              <w:ind w:right="61"/>
              <w:spacing w:after="0" w:line="194" w:lineRule="exact"/>
              <w:rPr>
                <w:sz w:val="20"/>
                <w:szCs w:val="20"/>
                <w:color w:val="auto"/>
              </w:rPr>
            </w:pPr>
            <w:r>
              <w:rPr>
                <w:rFonts w:ascii="Times New Roman" w:cs="Times New Roman" w:eastAsia="Times New Roman" w:hAnsi="Times New Roman"/>
                <w:sz w:val="18"/>
                <w:szCs w:val="18"/>
                <w:color w:val="auto"/>
              </w:rPr>
              <w:t>(11,843,858)</w:t>
            </w:r>
          </w:p>
        </w:tc>
        <w:tc>
          <w:tcPr>
            <w:tcW w:w="1200" w:type="dxa"/>
            <w:vAlign w:val="bottom"/>
            <w:gridSpan w:val="2"/>
          </w:tcPr>
          <w:p>
            <w:pPr>
              <w:jc w:val="right"/>
              <w:ind w:right="61"/>
              <w:spacing w:after="0" w:line="194" w:lineRule="exact"/>
              <w:rPr>
                <w:sz w:val="20"/>
                <w:szCs w:val="20"/>
                <w:color w:val="auto"/>
              </w:rPr>
            </w:pPr>
            <w:r>
              <w:rPr>
                <w:rFonts w:ascii="Times New Roman" w:cs="Times New Roman" w:eastAsia="Times New Roman" w:hAnsi="Times New Roman"/>
                <w:sz w:val="18"/>
                <w:szCs w:val="18"/>
                <w:color w:val="auto"/>
              </w:rPr>
              <w:t>(11,948,647)</w:t>
            </w:r>
          </w:p>
        </w:tc>
        <w:tc>
          <w:tcPr>
            <w:tcW w:w="1200" w:type="dxa"/>
            <w:vAlign w:val="bottom"/>
            <w:gridSpan w:val="2"/>
          </w:tcPr>
          <w:p>
            <w:pPr>
              <w:jc w:val="right"/>
              <w:ind w:right="61"/>
              <w:spacing w:after="0" w:line="194" w:lineRule="exact"/>
              <w:rPr>
                <w:sz w:val="20"/>
                <w:szCs w:val="20"/>
                <w:color w:val="auto"/>
              </w:rPr>
            </w:pPr>
            <w:r>
              <w:rPr>
                <w:rFonts w:ascii="Times New Roman" w:cs="Times New Roman" w:eastAsia="Times New Roman" w:hAnsi="Times New Roman"/>
                <w:sz w:val="18"/>
                <w:szCs w:val="18"/>
                <w:color w:val="auto"/>
              </w:rPr>
              <w:t>(1,782,183)</w:t>
            </w:r>
          </w:p>
        </w:tc>
        <w:tc>
          <w:tcPr>
            <w:tcW w:w="1200" w:type="dxa"/>
            <w:vAlign w:val="bottom"/>
            <w:gridSpan w:val="2"/>
          </w:tcPr>
          <w:p>
            <w:pPr>
              <w:jc w:val="right"/>
              <w:ind w:right="61"/>
              <w:spacing w:after="0" w:line="194" w:lineRule="exact"/>
              <w:rPr>
                <w:sz w:val="20"/>
                <w:szCs w:val="20"/>
                <w:color w:val="auto"/>
              </w:rPr>
            </w:pPr>
            <w:r>
              <w:rPr>
                <w:rFonts w:ascii="Times New Roman" w:cs="Times New Roman" w:eastAsia="Times New Roman" w:hAnsi="Times New Roman"/>
                <w:sz w:val="18"/>
                <w:szCs w:val="18"/>
                <w:color w:val="auto"/>
              </w:rPr>
              <w:t>(46,635,340)</w:t>
            </w:r>
          </w:p>
        </w:tc>
        <w:tc>
          <w:tcPr>
            <w:tcW w:w="1220" w:type="dxa"/>
            <w:vAlign w:val="bottom"/>
            <w:gridSpan w:val="2"/>
          </w:tcPr>
          <w:p>
            <w:pPr>
              <w:jc w:val="right"/>
              <w:ind w:right="81"/>
              <w:spacing w:after="0" w:line="194" w:lineRule="exact"/>
              <w:rPr>
                <w:sz w:val="20"/>
                <w:szCs w:val="20"/>
                <w:color w:val="auto"/>
              </w:rPr>
            </w:pPr>
            <w:r>
              <w:rPr>
                <w:rFonts w:ascii="Times New Roman" w:cs="Times New Roman" w:eastAsia="Times New Roman" w:hAnsi="Times New Roman"/>
                <w:sz w:val="18"/>
                <w:szCs w:val="18"/>
                <w:color w:val="auto"/>
              </w:rPr>
              <w:t>(35,022,976)</w:t>
            </w:r>
          </w:p>
        </w:tc>
        <w:tc>
          <w:tcPr>
            <w:tcW w:w="1120" w:type="dxa"/>
            <w:vAlign w:val="bottom"/>
            <w:gridSpan w:val="4"/>
          </w:tcPr>
          <w:p>
            <w:pPr>
              <w:jc w:val="right"/>
              <w:ind w:right="40"/>
              <w:spacing w:after="0" w:line="194" w:lineRule="exact"/>
              <w:rPr>
                <w:sz w:val="20"/>
                <w:szCs w:val="20"/>
                <w:color w:val="auto"/>
              </w:rPr>
            </w:pPr>
            <w:r>
              <w:rPr>
                <w:rFonts w:ascii="Times New Roman" w:cs="Times New Roman" w:eastAsia="Times New Roman" w:hAnsi="Times New Roman"/>
                <w:sz w:val="18"/>
                <w:szCs w:val="18"/>
                <w:color w:val="auto"/>
              </w:rPr>
              <w:t>(5,223,801)</w:t>
            </w:r>
          </w:p>
        </w:tc>
        <w:tc>
          <w:tcPr>
            <w:tcW w:w="0" w:type="dxa"/>
            <w:vAlign w:val="bottom"/>
          </w:tcPr>
          <w:p>
            <w:pPr>
              <w:spacing w:after="0"/>
              <w:rPr>
                <w:sz w:val="1"/>
                <w:szCs w:val="1"/>
                <w:color w:val="auto"/>
              </w:rPr>
            </w:pPr>
          </w:p>
        </w:tc>
      </w:tr>
      <w:tr>
        <w:trPr>
          <w:trHeight w:val="252"/>
        </w:trPr>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1,181,935</w:t>
            </w:r>
          </w:p>
        </w:tc>
        <w:tc>
          <w:tcPr>
            <w:tcW w:w="12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513,093</w:t>
            </w: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1,671,093</w:t>
            </w: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249,250</w:t>
            </w: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1,355,522</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3,202,763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477,704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8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(999,538)</w:t>
            </w: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(939,426)</w:t>
            </w: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(967,111)</w:t>
            </w: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(144,248)</w:t>
            </w: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(3,372,216)</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(2,808,226)</w:t>
            </w:r>
          </w:p>
        </w:tc>
        <w:tc>
          <w:tcPr>
            <w:tcW w:w="11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(418,857)</w:t>
            </w:r>
          </w:p>
        </w:tc>
        <w:tc>
          <w:tcPr>
            <w:tcW w:w="0" w:type="dxa"/>
            <w:vAlign w:val="bottom"/>
          </w:tcPr>
          <w:p>
            <w:pPr>
              <w:spacing w:after="0"/>
              <w:rPr>
                <w:sz w:val="1"/>
                <w:szCs w:val="1"/>
                <w:color w:val="auto"/>
              </w:rPr>
            </w:pPr>
          </w:p>
        </w:tc>
      </w:tr>
      <w:tr>
        <w:trPr>
          <w:trHeight w:val="216"/>
        </w:trPr>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(775,946)</w:t>
            </w: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(767,565)</w:t>
            </w: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(551,722)</w:t>
            </w: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(82,291)</w:t>
            </w: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(2,392,772)</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(1,795,851)</w:t>
            </w:r>
          </w:p>
        </w:tc>
        <w:tc>
          <w:tcPr>
            <w:tcW w:w="11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(267,858)</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(255,721)</w:t>
            </w: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(231,363)</w:t>
            </w: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(232,234)</w:t>
            </w: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(34,639)</w:t>
            </w: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(659,121)</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(692,080)</w:t>
            </w:r>
          </w:p>
        </w:tc>
        <w:tc>
          <w:tcPr>
            <w:tcW w:w="11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(103,226)</w:t>
            </w:r>
          </w:p>
        </w:tc>
        <w:tc>
          <w:tcPr>
            <w:tcW w:w="0" w:type="dxa"/>
            <w:vAlign w:val="bottom"/>
          </w:tcPr>
          <w:p>
            <w:pPr>
              <w:spacing w:after="0"/>
              <w:rPr>
                <w:sz w:val="1"/>
                <w:szCs w:val="1"/>
                <w:color w:val="auto"/>
              </w:rPr>
            </w:pPr>
          </w:p>
        </w:tc>
      </w:tr>
      <w:tr>
        <w:trPr>
          <w:trHeight w:val="230"/>
        </w:trPr>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(555,439)</w:t>
            </w: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(11,145)</w:t>
            </w: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(579,975)</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(11,145)</w:t>
            </w:r>
          </w:p>
        </w:tc>
        <w:tc>
          <w:tcPr>
            <w:tcW w:w="11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(1,662)</w:t>
            </w:r>
          </w:p>
        </w:tc>
        <w:tc>
          <w:tcPr>
            <w:tcW w:w="0" w:type="dxa"/>
            <w:vAlign w:val="bottom"/>
          </w:tcPr>
          <w:p>
            <w:pPr>
              <w:spacing w:after="0"/>
              <w:rPr>
                <w:sz w:val="1"/>
                <w:szCs w:val="1"/>
                <w:color w:val="auto"/>
              </w:rPr>
            </w:pPr>
          </w:p>
        </w:tc>
      </w:tr>
      <w:tr>
        <w:trPr>
          <w:trHeight w:val="209"/>
        </w:trPr>
        <w:tc>
          <w:tcPr>
            <w:tcW w:w="2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(2,586,644</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(1,949,499</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(1,751,067</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(261,178</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(7,004,084</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(5,307,302</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(791,603</w:t>
            </w:r>
          </w:p>
        </w:tc>
        <w:tc>
          <w:tcPr>
            <w:tcW w:w="100" w:type="dxa"/>
            <w:vAlign w:val="bottom"/>
            <w:tcBorders>
              <w:top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2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(1,404,709)</w:t>
            </w: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(1,436,406)</w:t>
            </w: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(79,974)</w:t>
            </w: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(11,928)</w:t>
            </w: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(5,648,562)</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(2,104,539)</w:t>
            </w:r>
          </w:p>
        </w:tc>
        <w:tc>
          <w:tcPr>
            <w:tcW w:w="11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(313,899)</w:t>
            </w:r>
          </w:p>
        </w:tc>
        <w:tc>
          <w:tcPr>
            <w:tcW w:w="0" w:type="dxa"/>
            <w:vAlign w:val="bottom"/>
          </w:tcPr>
          <w:p>
            <w:pPr>
              <w:spacing w:after="0"/>
              <w:rPr>
                <w:sz w:val="1"/>
                <w:szCs w:val="1"/>
                <w:color w:val="auto"/>
              </w:rPr>
            </w:pPr>
          </w:p>
        </w:tc>
      </w:tr>
      <w:tr>
        <w:trPr>
          <w:trHeight w:val="209"/>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(326,757)</w:t>
            </w:r>
          </w:p>
        </w:tc>
        <w:tc>
          <w:tcPr>
            <w:tcW w:w="20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(386,897)</w:t>
            </w:r>
          </w:p>
        </w:tc>
        <w:tc>
          <w:tcPr>
            <w:tcW w:w="20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(319,259)</w:t>
            </w:r>
          </w:p>
        </w:tc>
        <w:tc>
          <w:tcPr>
            <w:tcW w:w="20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(47,618)</w:t>
            </w:r>
          </w:p>
        </w:tc>
        <w:tc>
          <w:tcPr>
            <w:tcW w:w="20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(1,001,159)</w:t>
            </w:r>
          </w:p>
        </w:tc>
        <w:tc>
          <w:tcPr>
            <w:tcW w:w="20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(1,086,791)</w:t>
            </w:r>
          </w:p>
        </w:tc>
        <w:tc>
          <w:tcPr>
            <w:tcW w:w="2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(162,099)</w:t>
            </w:r>
          </w:p>
        </w:tc>
        <w:tc>
          <w:tcPr>
            <w:tcW w:w="10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124,972</w:t>
            </w:r>
          </w:p>
        </w:tc>
        <w:tc>
          <w:tcPr>
            <w:tcW w:w="12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113,621</w:t>
            </w: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67,932</w:t>
            </w: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10,132</w:t>
            </w: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374,840</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291,439</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43,469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Subsidy income</w:t>
            </w: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358,573</w:t>
            </w:r>
          </w:p>
        </w:tc>
        <w:tc>
          <w:tcPr>
            <w:tcW w:w="12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201,820</w:t>
            </w: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385,646</w:t>
            </w: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57,520</w:t>
            </w: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906,562</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919,377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137,128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(loss)/gain,net</w:t>
            </w: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(123,417)</w:t>
            </w: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(325,367)</w:t>
            </w: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(228,733)</w:t>
            </w: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(34,116)</w:t>
            </w: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288,954</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(1,036,908)</w:t>
            </w:r>
          </w:p>
        </w:tc>
        <w:tc>
          <w:tcPr>
            <w:tcW w:w="11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(154,659)</w:t>
            </w:r>
          </w:p>
        </w:tc>
        <w:tc>
          <w:tcPr>
            <w:tcW w:w="0" w:type="dxa"/>
            <w:vAlign w:val="bottom"/>
          </w:tcPr>
          <w:p>
            <w:pPr>
              <w:spacing w:after="0"/>
              <w:rPr>
                <w:sz w:val="1"/>
                <w:szCs w:val="1"/>
                <w:color w:val="auto"/>
              </w:rPr>
            </w:pPr>
          </w:p>
        </w:tc>
      </w:tr>
      <w:tr>
        <w:trPr>
          <w:trHeight w:val="198"/>
        </w:trPr>
        <w:tc>
          <w:tcPr>
            <w:tcW w:w="2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forward</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contracts and commodity futures</w:t>
            </w: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53,033</w:t>
            </w: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(48,414)</w:t>
            </w: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1,992</w:t>
            </w: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297</w:t>
            </w: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(179,747)</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(401,140)</w:t>
            </w:r>
          </w:p>
        </w:tc>
        <w:tc>
          <w:tcPr>
            <w:tcW w:w="11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(59,831)</w:t>
            </w:r>
          </w:p>
        </w:tc>
        <w:tc>
          <w:tcPr>
            <w:tcW w:w="0" w:type="dxa"/>
            <w:vAlign w:val="bottom"/>
          </w:tcPr>
          <w:p>
            <w:pPr>
              <w:spacing w:after="0"/>
              <w:rPr>
                <w:sz w:val="1"/>
                <w:szCs w:val="1"/>
                <w:color w:val="auto"/>
              </w:rPr>
            </w:pPr>
          </w:p>
        </w:tc>
      </w:tr>
      <w:tr>
        <w:trPr>
          <w:trHeight w:val="198"/>
        </w:trPr>
        <w:tc>
          <w:tcPr>
            <w:tcW w:w="2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Long-term</w:t>
            </w: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w:t>
            </w: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60,677</w:t>
            </w:r>
          </w:p>
        </w:tc>
        <w:tc>
          <w:tcPr>
            <w:tcW w:w="12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370,308</w:t>
            </w: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(167,544)</w:t>
            </w: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(24,990)</w:t>
            </w: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56,823</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327,189</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48,801</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Other (loss)/income, net</w:t>
            </w: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(121,817)</w:t>
            </w: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(23,880)</w:t>
            </w: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79,086</w:t>
            </w: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11,796</w:t>
            </w: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(505,926)</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90,068</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13,434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from disposal of subsidiaries</w:t>
            </w: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71,992</w:t>
            </w:r>
          </w:p>
        </w:tc>
        <w:tc>
          <w:tcPr>
            <w:tcW w:w="12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236,585</w:t>
            </w: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71,992</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236,585</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35,287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(1,307,453</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(1,298,630</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(260,854</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(38,907</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(5,636,223</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(2,764,720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(412,369</w:t>
            </w:r>
          </w:p>
        </w:tc>
        <w:tc>
          <w:tcPr>
            <w:tcW w:w="1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benefits</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191,635</w:t>
            </w:r>
          </w:p>
        </w:tc>
        <w:tc>
          <w:tcPr>
            <w:tcW w:w="20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163,675</w:t>
            </w:r>
          </w:p>
        </w:tc>
        <w:tc>
          <w:tcPr>
            <w:tcW w:w="20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117,564</w:t>
            </w:r>
          </w:p>
        </w:tc>
        <w:tc>
          <w:tcPr>
            <w:tcW w:w="20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17,535</w:t>
            </w:r>
          </w:p>
        </w:tc>
        <w:tc>
          <w:tcPr>
            <w:tcW w:w="20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1,179,882</w:t>
            </w:r>
          </w:p>
        </w:tc>
        <w:tc>
          <w:tcPr>
            <w:tcW w:w="20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660,499</w:t>
            </w:r>
          </w:p>
        </w:tc>
        <w:tc>
          <w:tcPr>
            <w:tcW w:w="220" w:type="dxa"/>
            <w:vAlign w:val="bottom"/>
          </w:tcPr>
          <w:p>
            <w:pPr>
              <w:spacing w:after="0"/>
              <w:rPr>
                <w:sz w:val="18"/>
                <w:szCs w:val="18"/>
                <w:color w:val="auto"/>
              </w:rPr>
            </w:pPr>
          </w:p>
        </w:tc>
        <w:tc>
          <w:tcPr>
            <w:tcW w:w="10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98,516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 in income/(loss) of affiliated</w:t>
            </w: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(78,621)</w:t>
            </w:r>
          </w:p>
        </w:tc>
        <w:tc>
          <w:tcPr>
            <w:tcW w:w="1200" w:type="dxa"/>
            <w:vAlign w:val="bottom"/>
            <w:gridSpan w:val="2"/>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(10,718)</w:t>
            </w:r>
          </w:p>
        </w:tc>
        <w:tc>
          <w:tcPr>
            <w:tcW w:w="1200" w:type="dxa"/>
            <w:vAlign w:val="bottom"/>
            <w:gridSpan w:val="2"/>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(1,599)</w:t>
            </w:r>
          </w:p>
        </w:tc>
        <w:tc>
          <w:tcPr>
            <w:tcW w:w="1200" w:type="dxa"/>
            <w:vAlign w:val="bottom"/>
            <w:gridSpan w:val="2"/>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(114,026)</w:t>
            </w:r>
          </w:p>
        </w:tc>
        <w:tc>
          <w:tcPr>
            <w:tcW w:w="1220" w:type="dxa"/>
            <w:vAlign w:val="bottom"/>
            <w:gridSpan w:val="2"/>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(143,808)</w:t>
            </w:r>
          </w:p>
        </w:tc>
        <w:tc>
          <w:tcPr>
            <w:tcW w:w="1120" w:type="dxa"/>
            <w:vAlign w:val="bottom"/>
            <w:gridSpan w:val="4"/>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(21,449)</w:t>
            </w:r>
          </w:p>
        </w:tc>
        <w:tc>
          <w:tcPr>
            <w:tcW w:w="0" w:type="dxa"/>
            <w:vAlign w:val="bottom"/>
          </w:tcPr>
          <w:p>
            <w:pPr>
              <w:spacing w:after="0"/>
              <w:rPr>
                <w:sz w:val="1"/>
                <w:szCs w:val="1"/>
                <w:color w:val="auto"/>
              </w:rPr>
            </w:pPr>
          </w:p>
        </w:tc>
      </w:tr>
      <w:tr>
        <w:trPr>
          <w:trHeight w:val="234"/>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companies</w:t>
            </w: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2,919</w:t>
            </w:r>
          </w:p>
        </w:tc>
        <w:tc>
          <w:tcPr>
            <w:tcW w:w="1240" w:type="dxa"/>
            <w:vAlign w:val="bottom"/>
            <w:gridSpan w:val="2"/>
            <w:vMerge w:val="continue"/>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1120" w:type="dxa"/>
            <w:vAlign w:val="bottom"/>
            <w:gridSpan w:val="4"/>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(1,112,899</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(1,213,576</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(154,008</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(22,971</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(4,570,367</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(2,248,029</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(335,302</w:t>
            </w:r>
          </w:p>
        </w:tc>
        <w:tc>
          <w:tcPr>
            <w:tcW w:w="100" w:type="dxa"/>
            <w:vAlign w:val="bottom"/>
            <w:tcBorders>
              <w:bottom w:val="single" w:sz="8" w:color="CCEEFF"/>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178"/>
        </w:trPr>
        <w:tc>
          <w:tcPr>
            <w:tcW w:w="28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Less: Net loss attributable to non-</w:t>
            </w: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controlling interests</w:t>
            </w: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385,798</w:t>
            </w:r>
          </w:p>
        </w:tc>
        <w:tc>
          <w:tcPr>
            <w:tcW w:w="12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569,946</w:t>
            </w: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40,162</w:t>
            </w: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5,990</w:t>
            </w: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1,688,478</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1,059,483</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158,026</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Accretion to redemption value</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of redeemable non-controlling</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interests</w:t>
            </w: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(22,685)</w:t>
            </w: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(53,623)</w:t>
            </w: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(56,173)</w:t>
            </w: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(8,378)</w:t>
            </w: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(63,197)</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(142,241)</w:t>
            </w:r>
          </w:p>
        </w:tc>
        <w:tc>
          <w:tcPr>
            <w:tcW w:w="11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(21,216)</w:t>
            </w:r>
          </w:p>
        </w:tc>
        <w:tc>
          <w:tcPr>
            <w:tcW w:w="0" w:type="dxa"/>
            <w:vAlign w:val="bottom"/>
          </w:tcPr>
          <w:p>
            <w:pPr>
              <w:spacing w:after="0"/>
              <w:rPr>
                <w:sz w:val="1"/>
                <w:szCs w:val="1"/>
                <w:color w:val="auto"/>
              </w:rPr>
            </w:pPr>
          </w:p>
        </w:tc>
      </w:tr>
      <w:tr>
        <w:trPr>
          <w:trHeight w:val="174"/>
        </w:trPr>
        <w:tc>
          <w:tcPr>
            <w:tcW w:w="286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loss attributable to Jinko</w:t>
            </w:r>
          </w:p>
        </w:tc>
        <w:tc>
          <w:tcPr>
            <w:tcW w:w="10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Holdings Limited’s ordinary</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(749,786)</w:t>
            </w: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(697,253)</w:t>
            </w: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(170,019)</w:t>
            </w: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(25,359)</w:t>
            </w: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(2,945,086)</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(1,330,787)</w:t>
            </w:r>
          </w:p>
        </w:tc>
        <w:tc>
          <w:tcPr>
            <w:tcW w:w="11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(198,492)</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bottom w:val="single" w:sz="8" w:color="CCEEFF"/>
            </w:tcBorders>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Net loss attributable to Jinko</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86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Holdings Limited’s ordinary</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per share:</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(3.58)</w:t>
            </w: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(3.30)</w:t>
            </w: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(0.80)</w:t>
            </w: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(0.12)</w:t>
            </w: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(14.15)</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(6.32)</w:t>
            </w:r>
          </w:p>
        </w:tc>
        <w:tc>
          <w:tcPr>
            <w:tcW w:w="11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(0.94)</w:t>
            </w:r>
          </w:p>
        </w:tc>
        <w:tc>
          <w:tcPr>
            <w:tcW w:w="0" w:type="dxa"/>
            <w:vAlign w:val="bottom"/>
          </w:tcPr>
          <w:p>
            <w:pPr>
              <w:spacing w:after="0"/>
              <w:rPr>
                <w:sz w:val="1"/>
                <w:szCs w:val="1"/>
                <w:color w:val="auto"/>
              </w:rPr>
            </w:pPr>
          </w:p>
        </w:tc>
      </w:tr>
      <w:tr>
        <w:trPr>
          <w:trHeight w:val="216"/>
        </w:trPr>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(3.58)</w:t>
            </w: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(3.30)</w:t>
            </w: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(0.80)</w:t>
            </w: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(0.12)</w:t>
            </w: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(14.15)</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(6.32)</w:t>
            </w:r>
          </w:p>
        </w:tc>
        <w:tc>
          <w:tcPr>
            <w:tcW w:w="11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(0.94)</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Jinko</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Holdings Limited’s ordinary</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per ADS:</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(14.32)</w:t>
            </w: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(13.19)</w:t>
            </w: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(3.20)</w:t>
            </w: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(0.48)</w:t>
            </w: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(56.62)</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(25.29)</w:t>
            </w:r>
          </w:p>
        </w:tc>
        <w:tc>
          <w:tcPr>
            <w:tcW w:w="11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16"/>
        </w:trPr>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(14.32)</w:t>
            </w: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(13.19)</w:t>
            </w: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(3.20)</w:t>
            </w: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(0.48)</w:t>
            </w: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(56.62)</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(25.29)</w:t>
            </w:r>
          </w:p>
        </w:tc>
        <w:tc>
          <w:tcPr>
            <w:tcW w:w="11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ordinary shares</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outstanding:</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209,429,353</w:t>
            </w:r>
          </w:p>
        </w:tc>
        <w:tc>
          <w:tcPr>
            <w:tcW w:w="12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211,435,343</w:t>
            </w: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212,396,617</w:t>
            </w: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212,396,617</w:t>
            </w: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208,069,900</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210,463,447</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210,463,447</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860" w:type="dxa"/>
            <w:vAlign w:val="bottom"/>
            <w:tcBorders>
              <w:bottom w:val="single" w:sz="8" w:color="CCEEFF"/>
            </w:tcBorders>
            <w:vMerge w:val="continue"/>
          </w:tcPr>
          <w:p>
            <w:pPr>
              <w:spacing w:after="0"/>
              <w:rPr>
                <w:sz w:val="20"/>
                <w:szCs w:val="20"/>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209,429,353</w:t>
            </w:r>
          </w:p>
        </w:tc>
        <w:tc>
          <w:tcPr>
            <w:tcW w:w="200" w:type="dxa"/>
            <w:vAlign w:val="bottom"/>
            <w:tcBorders>
              <w:bottom w:val="single" w:sz="8" w:color="CCEEFF"/>
            </w:tcBorders>
            <w:vMerge w:val="continue"/>
          </w:tcPr>
          <w:p>
            <w:pPr>
              <w:spacing w:after="0"/>
              <w:rPr>
                <w:sz w:val="20"/>
                <w:szCs w:val="20"/>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211,435,343</w:t>
            </w:r>
          </w:p>
        </w:tc>
        <w:tc>
          <w:tcPr>
            <w:tcW w:w="200" w:type="dxa"/>
            <w:vAlign w:val="bottom"/>
            <w:tcBorders>
              <w:bottom w:val="single" w:sz="8" w:color="CCEEFF"/>
            </w:tcBorders>
            <w:vMerge w:val="continue"/>
          </w:tcPr>
          <w:p>
            <w:pPr>
              <w:spacing w:after="0"/>
              <w:rPr>
                <w:sz w:val="20"/>
                <w:szCs w:val="20"/>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212,396,617</w:t>
            </w:r>
          </w:p>
        </w:tc>
        <w:tc>
          <w:tcPr>
            <w:tcW w:w="200" w:type="dxa"/>
            <w:vAlign w:val="bottom"/>
            <w:tcBorders>
              <w:bottom w:val="single" w:sz="8" w:color="CCEEFF"/>
            </w:tcBorders>
            <w:vMerge w:val="continue"/>
          </w:tcPr>
          <w:p>
            <w:pPr>
              <w:spacing w:after="0"/>
              <w:rPr>
                <w:sz w:val="20"/>
                <w:szCs w:val="20"/>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212,396,617</w:t>
            </w:r>
          </w:p>
        </w:tc>
        <w:tc>
          <w:tcPr>
            <w:tcW w:w="200" w:type="dxa"/>
            <w:vAlign w:val="bottom"/>
            <w:tcBorders>
              <w:bottom w:val="single" w:sz="8" w:color="CCEEFF"/>
            </w:tcBorders>
            <w:vMerge w:val="continue"/>
          </w:tcPr>
          <w:p>
            <w:pPr>
              <w:spacing w:after="0"/>
              <w:rPr>
                <w:sz w:val="20"/>
                <w:szCs w:val="20"/>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208,069,900</w:t>
            </w:r>
          </w:p>
        </w:tc>
        <w:tc>
          <w:tcPr>
            <w:tcW w:w="200" w:type="dxa"/>
            <w:vAlign w:val="bottom"/>
            <w:tcBorders>
              <w:bottom w:val="single" w:sz="8" w:color="CCEEFF"/>
            </w:tcBorders>
            <w:vMerge w:val="continue"/>
          </w:tcPr>
          <w:p>
            <w:pPr>
              <w:spacing w:after="0"/>
              <w:rPr>
                <w:sz w:val="20"/>
                <w:szCs w:val="20"/>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210,463,447</w:t>
            </w:r>
          </w:p>
        </w:tc>
        <w:tc>
          <w:tcPr>
            <w:tcW w:w="220" w:type="dxa"/>
            <w:vAlign w:val="bottom"/>
            <w:tcBorders>
              <w:bottom w:val="single" w:sz="8" w:color="CCEEFF"/>
            </w:tcBorders>
            <w:vMerge w:val="continue"/>
          </w:tcPr>
          <w:p>
            <w:pPr>
              <w:spacing w:after="0"/>
              <w:rPr>
                <w:sz w:val="20"/>
                <w:szCs w:val="20"/>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210,463,447</w:t>
            </w:r>
          </w:p>
        </w:tc>
        <w:tc>
          <w:tcPr>
            <w:tcW w:w="2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8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ADS outstanding:</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52,357,338</w:t>
            </w:r>
          </w:p>
        </w:tc>
        <w:tc>
          <w:tcPr>
            <w:tcW w:w="12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52,858,836</w:t>
            </w: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53,099,154</w:t>
            </w: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53,099,154</w:t>
            </w: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52,017,475</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52,615,862</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52,615,862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60" w:type="dxa"/>
            <w:vAlign w:val="bottom"/>
            <w:vMerge w:val="continue"/>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52,357,338</w:t>
            </w:r>
          </w:p>
        </w:tc>
        <w:tc>
          <w:tcPr>
            <w:tcW w:w="200" w:type="dxa"/>
            <w:vAlign w:val="bottom"/>
            <w:vMerge w:val="continue"/>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52,858,836</w:t>
            </w:r>
          </w:p>
        </w:tc>
        <w:tc>
          <w:tcPr>
            <w:tcW w:w="200" w:type="dxa"/>
            <w:vAlign w:val="bottom"/>
            <w:vMerge w:val="continue"/>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53,099,154</w:t>
            </w:r>
          </w:p>
        </w:tc>
        <w:tc>
          <w:tcPr>
            <w:tcW w:w="200" w:type="dxa"/>
            <w:vAlign w:val="bottom"/>
            <w:vMerge w:val="continue"/>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53,099,154</w:t>
            </w:r>
          </w:p>
        </w:tc>
        <w:tc>
          <w:tcPr>
            <w:tcW w:w="200" w:type="dxa"/>
            <w:vAlign w:val="bottom"/>
            <w:vMerge w:val="continue"/>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52,017,475</w:t>
            </w:r>
          </w:p>
        </w:tc>
        <w:tc>
          <w:tcPr>
            <w:tcW w:w="200" w:type="dxa"/>
            <w:vAlign w:val="bottom"/>
            <w:vMerge w:val="continue"/>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52,615,862</w:t>
            </w:r>
          </w:p>
        </w:tc>
        <w:tc>
          <w:tcPr>
            <w:tcW w:w="220" w:type="dxa"/>
            <w:vAlign w:val="bottom"/>
            <w:vMerge w:val="continue"/>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52,615,862</w:t>
            </w:r>
          </w:p>
        </w:tc>
        <w:tc>
          <w:tcPr>
            <w:tcW w:w="2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8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JINKO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 31, 2025</w:t>
            </w:r>
          </w:p>
        </w:tc>
        <w:tc>
          <w:tcPr>
            <w:tcW w:w="2880" w:type="dxa"/>
            <w:vAlign w:val="bottom"/>
            <w:gridSpan w:val="5"/>
          </w:tcPr>
          <w:p>
            <w:pPr>
              <w:ind w:left="900"/>
              <w:spacing w:after="0"/>
              <w:rPr>
                <w:sz w:val="20"/>
                <w:szCs w:val="20"/>
                <w:color w:val="auto"/>
              </w:rPr>
            </w:pPr>
            <w:r>
              <w:rPr>
                <w:rFonts w:ascii="Times New Roman" w:cs="Times New Roman" w:eastAsia="Times New Roman" w:hAnsi="Times New Roman"/>
                <w:sz w:val="18"/>
                <w:szCs w:val="18"/>
                <w:b w:val="1"/>
                <w:bCs w:val="1"/>
                <w:color w:val="auto"/>
              </w:rPr>
              <w:t>Sep 30, 2026</w:t>
            </w:r>
          </w:p>
        </w:tc>
      </w:tr>
      <w:tr>
        <w:trPr>
          <w:trHeight w:val="223"/>
        </w:trPr>
        <w:tc>
          <w:tcPr>
            <w:tcW w:w="6760" w:type="dxa"/>
            <w:vAlign w:val="bottom"/>
          </w:tcPr>
          <w:p>
            <w:pPr>
              <w:spacing w:after="0"/>
              <w:rPr>
                <w:sz w:val="19"/>
                <w:szCs w:val="19"/>
                <w:color w:val="auto"/>
              </w:rPr>
            </w:pPr>
          </w:p>
        </w:tc>
        <w:tc>
          <w:tcPr>
            <w:tcW w:w="12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RMB’000</w:t>
            </w:r>
          </w:p>
        </w:tc>
        <w:tc>
          <w:tcPr>
            <w:tcW w:w="340" w:type="dxa"/>
            <w:vAlign w:val="bottom"/>
          </w:tcPr>
          <w:p>
            <w:pPr>
              <w:spacing w:after="0"/>
              <w:rPr>
                <w:sz w:val="19"/>
                <w:szCs w:val="19"/>
                <w:color w:val="auto"/>
              </w:rPr>
            </w:pPr>
          </w:p>
        </w:tc>
        <w:tc>
          <w:tcPr>
            <w:tcW w:w="154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color w:val="auto"/>
              </w:rPr>
              <w:t>RMB’000</w:t>
            </w:r>
          </w:p>
        </w:tc>
        <w:tc>
          <w:tcPr>
            <w:tcW w:w="12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USD’000</w:t>
            </w:r>
          </w:p>
        </w:tc>
        <w:tc>
          <w:tcPr>
            <w:tcW w:w="100" w:type="dxa"/>
            <w:vAlign w:val="bottom"/>
            <w:gridSpan w:val="2"/>
          </w:tcPr>
          <w:p>
            <w:pPr>
              <w:spacing w:after="0"/>
              <w:rPr>
                <w:sz w:val="19"/>
                <w:szCs w:val="19"/>
                <w:color w:val="auto"/>
              </w:rPr>
            </w:pPr>
          </w:p>
        </w:tc>
      </w:t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2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Cash,cash equivalents, and restricted cash</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22,938,381</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15,555,255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2,320,121</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short-term investments and short-term investments</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7,487,415</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6,669,539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994,786</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13,587,215</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11,954,791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1,783,100</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receivable, net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3,677,372</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2,718,062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405,408</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Advances to suppliers, net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1,325,633</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1,668,788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248,905</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14,484,828</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17,613,617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2,627,134</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Forward contract and commodity future receivables</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58,923</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86,195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12,856</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Prepayments and other current assets, net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4,909,826</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5,736,084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855,557</w:t>
            </w:r>
          </w:p>
        </w:tc>
        <w:tc>
          <w:tcPr>
            <w:tcW w:w="80" w:type="dxa"/>
            <w:vAlign w:val="bottom"/>
          </w:tcPr>
          <w:p>
            <w:pPr>
              <w:spacing w:after="0"/>
              <w:rPr>
                <w:sz w:val="18"/>
                <w:szCs w:val="18"/>
                <w:color w:val="auto"/>
              </w:rPr>
            </w:pPr>
          </w:p>
        </w:tc>
      </w:tr>
      <w:tr>
        <w:trPr>
          <w:trHeight w:val="230"/>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Held-for-sale assets</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344,553</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87,209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13,008</w:t>
            </w:r>
          </w:p>
        </w:tc>
        <w:tc>
          <w:tcPr>
            <w:tcW w:w="80" w:type="dxa"/>
            <w:vAlign w:val="bottom"/>
            <w:shd w:val="clear" w:color="auto" w:fill="CCEEFF"/>
          </w:tcPr>
          <w:p>
            <w:pPr>
              <w:spacing w:after="0"/>
              <w:rPr>
                <w:sz w:val="19"/>
                <w:szCs w:val="19"/>
                <w:color w:val="auto"/>
              </w:rPr>
            </w:pPr>
          </w:p>
        </w:tc>
      </w:tr>
      <w:tr>
        <w:trPr>
          <w:trHeight w:val="209"/>
        </w:trPr>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68,814,146</w:t>
            </w:r>
          </w:p>
        </w:tc>
        <w:tc>
          <w:tcPr>
            <w:tcW w:w="34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62,089,540</w:t>
            </w:r>
          </w:p>
        </w:tc>
        <w:tc>
          <w:tcPr>
            <w:tcW w:w="3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9,260,875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67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long-term investments</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471,573</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921,453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137,438</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investments</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1,441,683</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4,118,481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614,286</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36,644,813</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35,091,567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5,234,032</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Land use rights, net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2,140,953</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1,996,865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297,840</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445,866</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384,846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57,401</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 net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3,617,900</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3,560,473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531,057</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4,576,302</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4,418,390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659,019</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Advances to suppliers to be utilised beyond one year</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605,525</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679,823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101,398</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 net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2,026,752</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1,876,207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279,843</w:t>
            </w:r>
          </w:p>
        </w:tc>
        <w:tc>
          <w:tcPr>
            <w:tcW w:w="80" w:type="dxa"/>
            <w:vAlign w:val="bottom"/>
            <w:shd w:val="clear" w:color="auto" w:fill="CCEEFF"/>
          </w:tcPr>
          <w:p>
            <w:pPr>
              <w:spacing w:after="0"/>
              <w:rPr>
                <w:sz w:val="18"/>
                <w:szCs w:val="18"/>
                <w:color w:val="auto"/>
              </w:rPr>
            </w:pPr>
          </w:p>
        </w:tc>
      </w:tr>
      <w:tr>
        <w:trPr>
          <w:trHeight w:val="230"/>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Available-for-sale securities-non-current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238,464</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764,473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114,024</w:t>
            </w:r>
          </w:p>
        </w:tc>
        <w:tc>
          <w:tcPr>
            <w:tcW w:w="80" w:type="dxa"/>
            <w:vAlign w:val="bottom"/>
          </w:tcPr>
          <w:p>
            <w:pPr>
              <w:spacing w:after="0"/>
              <w:rPr>
                <w:sz w:val="19"/>
                <w:szCs w:val="19"/>
                <w:color w:val="auto"/>
              </w:rPr>
            </w:pPr>
          </w:p>
        </w:tc>
      </w:tr>
      <w:tr>
        <w:trPr>
          <w:trHeight w:val="209"/>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52,209,831</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53,812,578</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8,026,338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121,023,977</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115,902,118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17,287,213</w:t>
            </w:r>
          </w:p>
        </w:tc>
        <w:tc>
          <w:tcPr>
            <w:tcW w:w="80" w:type="dxa"/>
            <w:vAlign w:val="bottom"/>
            <w:shd w:val="clear" w:color="auto" w:fill="CCEEFF"/>
          </w:tcPr>
          <w:p>
            <w:pPr>
              <w:spacing w:after="0"/>
              <w:rPr>
                <w:sz w:val="19"/>
                <w:szCs w:val="19"/>
                <w:color w:val="auto"/>
              </w:rPr>
            </w:pPr>
          </w:p>
        </w:tc>
      </w:tr>
      <w:tr>
        <w:trPr>
          <w:trHeight w:val="210"/>
        </w:trPr>
        <w:tc>
          <w:tcPr>
            <w:tcW w:w="676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13,707,552</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13,166,315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1,963,803</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payable</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9,996,577</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6,425,837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958,437</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payroll and welfare expenses</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2,645,041</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1,825,331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272,255</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Advances from customers</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5,316,889</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7,004,428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1,044,735</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payables</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177,580</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267,943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39,965</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payables and accruals</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12,370,639</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11,187,540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1,668,659</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Forward contract and commodity future payables</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56,129</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53,480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7,977</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 - current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118,363</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40,191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5,995</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67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Short-term borrowings, including current portion of long-term borrowings, and failed</w:t>
            </w: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8"/>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sale-leaseback financing</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10,655,366</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15,278,185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2,278,796</w:t>
            </w:r>
          </w:p>
        </w:tc>
        <w:tc>
          <w:tcPr>
            <w:tcW w:w="80" w:type="dxa"/>
            <w:vAlign w:val="bottom"/>
            <w:shd w:val="clear" w:color="auto" w:fill="CCEEFF"/>
          </w:tcPr>
          <w:p>
            <w:pPr>
              <w:spacing w:after="0"/>
              <w:rPr>
                <w:sz w:val="21"/>
                <w:szCs w:val="21"/>
                <w:color w:val="auto"/>
              </w:rPr>
            </w:pPr>
          </w:p>
        </w:tc>
      </w:tr>
      <w:tr>
        <w:trPr>
          <w:trHeight w:val="210"/>
        </w:trPr>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55,044,136</w:t>
            </w:r>
          </w:p>
        </w:tc>
        <w:tc>
          <w:tcPr>
            <w:tcW w:w="34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55,251,750</w:t>
            </w:r>
          </w:p>
        </w:tc>
        <w:tc>
          <w:tcPr>
            <w:tcW w:w="3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8,240,995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67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borrowings</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18,206,905</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13,717,366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2,045,994</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notes</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10,594,637</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8,927,262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1,331,533</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warranty costs - non current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1,655,630</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1,551,993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231,485</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liabilities-noncurrent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3,550,598</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3,828,247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570,997</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29,974</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57,273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8,542</w:t>
            </w:r>
          </w:p>
        </w:tc>
        <w:tc>
          <w:tcPr>
            <w:tcW w:w="80" w:type="dxa"/>
            <w:vAlign w:val="bottom"/>
            <w:shd w:val="clear" w:color="auto" w:fill="CCEEFF"/>
          </w:tcPr>
          <w:p>
            <w:pPr>
              <w:spacing w:after="0"/>
              <w:rPr>
                <w:sz w:val="18"/>
                <w:szCs w:val="18"/>
                <w:color w:val="auto"/>
              </w:rPr>
            </w:pPr>
          </w:p>
        </w:tc>
      </w:tr>
      <w:tr>
        <w:trPr>
          <w:trHeight w:val="230"/>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Payables</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4,371,333</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4,017,442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599,216</w:t>
            </w:r>
          </w:p>
        </w:tc>
        <w:tc>
          <w:tcPr>
            <w:tcW w:w="80" w:type="dxa"/>
            <w:vAlign w:val="bottom"/>
          </w:tcPr>
          <w:p>
            <w:pPr>
              <w:spacing w:after="0"/>
              <w:rPr>
                <w:sz w:val="19"/>
                <w:szCs w:val="19"/>
                <w:color w:val="auto"/>
              </w:rPr>
            </w:pPr>
          </w:p>
        </w:tc>
      </w:tr>
      <w:tr>
        <w:trPr>
          <w:trHeight w:val="209"/>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38,409,077</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32,099,583</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4,787,767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93,453,213</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87,351,333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13,028,762</w:t>
            </w:r>
          </w:p>
        </w:tc>
        <w:tc>
          <w:tcPr>
            <w:tcW w:w="80" w:type="dxa"/>
            <w:vAlign w:val="bottom"/>
            <w:shd w:val="clear" w:color="auto" w:fill="CCEEFF"/>
          </w:tcPr>
          <w:p>
            <w:pPr>
              <w:spacing w:after="0"/>
              <w:rPr>
                <w:sz w:val="21"/>
                <w:szCs w:val="2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6"/>
        </w:trPr>
        <w:tc>
          <w:tcPr>
            <w:tcW w:w="6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MEZZANINE EQUITY</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1,545,058</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3,564,377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531,639</w:t>
            </w:r>
          </w:p>
        </w:tc>
        <w:tc>
          <w:tcPr>
            <w:tcW w:w="80" w:type="dxa"/>
            <w:vAlign w:val="bottom"/>
          </w:tcPr>
          <w:p>
            <w:pPr>
              <w:spacing w:after="0"/>
              <w:rPr>
                <w:sz w:val="19"/>
                <w:szCs w:val="19"/>
                <w:color w:val="auto"/>
              </w:rPr>
            </w:pPr>
          </w:p>
        </w:tc>
      </w:tr>
      <w:tr>
        <w:trPr>
          <w:trHeight w:val="209"/>
        </w:trPr>
        <w:tc>
          <w:tcPr>
            <w:tcW w:w="67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Jinko Holdings Limited shareholders’ equity</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15,726,132</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14,385,278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2,145,616</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10,299,574</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10,601,130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1,581,196</w:t>
            </w:r>
          </w:p>
        </w:tc>
        <w:tc>
          <w:tcPr>
            <w:tcW w:w="80" w:type="dxa"/>
            <w:vAlign w:val="bottom"/>
            <w:shd w:val="clear" w:color="auto" w:fill="CCEEFF"/>
          </w:tcPr>
          <w:p>
            <w:pPr>
              <w:spacing w:after="0"/>
              <w:rPr>
                <w:sz w:val="19"/>
                <w:szCs w:val="19"/>
                <w:color w:val="auto"/>
              </w:rPr>
            </w:pPr>
          </w:p>
        </w:tc>
      </w:tr>
      <w:tr>
        <w:trPr>
          <w:trHeight w:val="209"/>
        </w:trPr>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26,025,706</w:t>
            </w:r>
          </w:p>
        </w:tc>
        <w:tc>
          <w:tcPr>
            <w:tcW w:w="34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24,986,408</w:t>
            </w:r>
          </w:p>
        </w:tc>
        <w:tc>
          <w:tcPr>
            <w:tcW w:w="3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3,726,812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67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non-controlling interest and shareholders’ equity</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121,023,977</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115,902,118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17,287,213</w:t>
            </w:r>
          </w:p>
        </w:tc>
        <w:tc>
          <w:tcPr>
            <w:tcW w:w="80" w:type="dxa"/>
            <w:vAlign w:val="bottom"/>
          </w:tcPr>
          <w:p>
            <w:pPr>
              <w:spacing w:after="0"/>
              <w:rPr>
                <w:sz w:val="21"/>
                <w:szCs w:val="21"/>
                <w:color w:val="auto"/>
              </w:rPr>
            </w:pPr>
          </w:p>
        </w:tc>
      </w:tr>
      <w:tr>
        <w:trPr>
          <w:trHeight w:val="20"/>
        </w:trPr>
        <w:tc>
          <w:tcPr>
            <w:tcW w:w="67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11240"/>
          </w:cols>
          <w:pgMar w:left="320" w:top="684" w:right="339" w:bottom="0" w:gutter="0" w:footer="0" w:header="0"/>
        </w:sectPr>
      </w:pPr>
    </w:p>
    <w:bookmarkStart w:id="13" w:name="page14"/>
    <w:bookmarkEnd w:id="13"/>
    <w:p>
      <w:pPr>
        <w:spacing w:after="0"/>
        <w:rPr>
          <w:sz w:val="20"/>
          <w:szCs w:val="20"/>
          <w:color w:val="auto"/>
        </w:rPr>
      </w:pPr>
      <w:r>
        <w:rPr>
          <w:sz w:val="1"/>
          <w:szCs w:val="1"/>
          <w:color w:val="auto"/>
        </w:rPr>
        <w:drawing>
          <wp:inline distT="0" distB="0" distL="0" distR="0">
            <wp:extent cx="102870" cy="1028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View original content: </w:t>
      </w:r>
      <w:r>
        <w:rPr>
          <w:rFonts w:ascii="Times New Roman" w:cs="Times New Roman" w:eastAsia="Times New Roman" w:hAnsi="Times New Roman"/>
          <w:sz w:val="17"/>
          <w:szCs w:val="17"/>
          <w:u w:val="single" w:color="auto"/>
          <w:color w:val="auto"/>
        </w:rPr>
        <w:t>https://www.prnewswire.com/news-releases/jinko-holdings-announces-third-quarter-2026-financial-results-302924830.html</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Jinko Holdings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00"/>
          </w:cols>
          <w:pgMar w:left="320" w:top="121" w:right="77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Jinko Holdings Announces Change of Chief Financial Officer and Appointment of New Director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10/30/2026</w:t>
      </w:r>
    </w:p>
    <w:p>
      <w:pPr>
        <w:spacing w:after="0" w:line="22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SHANGRAO, China, Oct. 30, 2026 /PRNewswire/ -- Jinko Holdings Limited (“Jinko Holdings” or the “Company”) (NYSE: JKS), today announced that Mr. Mengmeng Li (Pan Li) has resigned as the chief financial officer of the Company, effective October 30, 2026. Mr. Kun Zhang (Craig Zhang) has been appointed as acting chief financial officer of the Company, effective the same date. The resignation of Mr. Li was not due to any disagreement with the Company, and the Company does not believe this change to its senior management team will have any material impact on its business operations. Concurrently, Mr. Gen Miao (Gener Miao), deputy general manager and chief marketing officer of Jinko Solar Co., Ltd. (“Jiangxi Jinko”), has been appointed as a director of the Company, effective the same date. The Company appreciates Mr. Li’s contributions and wishes him every success in his future endeavors.</w:t>
      </w:r>
    </w:p>
    <w:p>
      <w:pPr>
        <w:spacing w:after="0" w:line="18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Mr. Zhang served as finance director of the Company since August 2026. Prior to joining the Company, he served as corporate development and finance director at Shanghai Windrose Technology Co., Ltd. from January 2025 to July 2026, and as deputy director of financial reporting and accounting at Envision Ruitai Dynamics Technology (Shanghai) Co., Ltd. from August 2022 to January 2025. Prior to this, Mr. Zhang worked at PricewaterhouseCoopers Zhong Tian LLP from October 2012 to August 2022, most recently as an audit senior manager. Mr. Zhang holds dual bachelor’s degrees in economics and management from Shanghai University of International Business and Economics and is a member of the Chinese Institute of Certified Public Accountants (CICPA).</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Mr. Miao has served as deputy general manager and chief marketing officer of Jiangxi Jinko since December 2020. Before that, he served as chief marketing officer of the Company from February 2019 to December 2020. From 2010 to 2019, Mr. Miao held several positions at the Company and Jiangxi Jinko. He was board secretary of the Company from May 2011 to February 2019, and vice president for sales and marketing and assistant to the chairman of the board of Jiangxi Jinko from August 2010 to February 2019. Mr. Miao holds an MBA from China Europe International Business School, a postgraduate diploma in finance and economics from the University of Southampton, and a bachelor’s degree in mathematics and applied mathematics from Tongji University.</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behalf of the management team, I’d like to warmly welcome Craig onboard as our acting chief financial officer and Gener onboard as our director,” commented Mr. Wei Du (Dimi Du), chief executive officer of Jinko Holdings. “Craig’s strong accounting background, public-company audit experience and hands-on corporate development expertise make him well suited to lead our finance team during this period. Gener’s proven leadership, deep expertise in corporate governance, and over 15 years of experience in directing global operations, sales, and marketing make him an invaluable addition to our board. We look forward to working closely with Craig and Gener as we continue to execute our strategy with discipline and transparency.”</w:t>
      </w:r>
    </w:p>
    <w:p>
      <w:pPr>
        <w:spacing w:after="0" w:line="18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 am honored to take on the role of acting chief financial officer,” said Mr. Craig Zhang. “I will focus on maintaining a seamless handover, upholding high standards of financial integrity, and supporting the Company’s growth ambitions while creating lasting value for our shareholders.”</w:t>
      </w:r>
    </w:p>
    <w:p>
      <w:pPr>
        <w:spacing w:after="0" w:line="16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“Having grown with Jinko Holdings since its early days, I am delighted to take on this new responsibility,” said Mr. Gener Miao. “I look forward to contributing my experience to the board and to supporting the company’s long-term, sustainable growth.”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Jinko Holdings Limited</w:t>
      </w:r>
    </w:p>
    <w:p>
      <w:pPr>
        <w:spacing w:after="0" w:line="229"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Jinko Holdings (NYSE: JKS) is a holding company combining clean energy industrial operations and strategic investment in emerging and frontier technologies. Its industrial foundation is a controlling interest in Jinko Solar Co., Ltd. (SSE: 688223), a global leader in clean energy technology. The Company makes disciplined strategic investments in renewable energy, advanced materials, artificial intelligence, commercial space and other frontier technologies, drawing on its industrial experience and its ability to identify emerging technologies and bring them to commercial scale.</w:t>
      </w:r>
    </w:p>
    <w:p>
      <w:pPr>
        <w:spacing w:after="0" w:line="18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Through Jinko Solar Co., Ltd., the Company distributes its solar products and sells its solutions and services to a diversified international utility, commercial and residential customer base in China, the United States, Japan, Germany, the United Kingdom, Chile, South Africa, India, Mexico, Brazil, the United Arab Emirates, Italy, Spain, France, Belgium, Netherlands, Poland, Austria, Switzerland, Greece and other countries and regions.</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Through Jinko Solar Co., Ltd., the Company has over 20 overseas subsidiaries in Japan, South Korea, Vietnam, India, Turkey, Germany, Italy, Switzerland, the United States, Mexico, and other countries, and a global sales network with sales teams in China, the United States, Canada, Brazil, Chile, Mexico, Italy, Germany, Turkey, Spain, Japan, the United Arab Emirates, Netherlands, Vietnam and India, as of September 30,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find out more, please see: </w:t>
      </w:r>
      <w:r>
        <w:rPr>
          <w:rFonts w:ascii="Times New Roman" w:cs="Times New Roman" w:eastAsia="Times New Roman" w:hAnsi="Times New Roman"/>
          <w:sz w:val="18"/>
          <w:szCs w:val="18"/>
          <w:u w:val="single" w:color="auto"/>
          <w:color w:val="auto"/>
        </w:rPr>
        <w:t>www.jinkosolar.com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constitute “forward-looking” statements within the meaning of Section 27A of the Securities Act of 1933, as amended, and Section 21E of the Securities Exchange Act of 1934, as amended, and as defined in the U.S. Private Securities Litigation Reform Act of 1995. These forward-looking statements can be identified by terminology such as “will,” “expects,” “anticipates,” “future,” “intends,” “plans,” “believes,” “estimates” and similar statements. Among other things, the quotations from management in this press release and the Company’s operations and business outlook, contain forward-looking statements. Such statements involve certain risks and uncertainties that could cause actual results to differ materially from those in the forward-looking statements. Further information regarding these and other risks is included in Jinko Holdings’ filings with the U.S. Securities and Exchange Commission, including its annual report on Form 20-F. Except as required by law, the Company does not undertake any obligation to update any forward-looking statements, whether as a result of new information, future events or otherwise.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China: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Stella Wang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Jinko Holdings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 21-5180-8777 ext.7806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ir@jinkosolar.com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Christian Arnell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Christensen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+852 2117 0861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christian.arnell@christensencomms.com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the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jinko@christensencomms.com</w:t>
      </w:r>
    </w:p>
    <w:p>
      <w:pPr>
        <w:spacing w:after="0" w:line="207" w:lineRule="exact"/>
        <w:rPr>
          <w:sz w:val="20"/>
          <w:szCs w:val="20"/>
          <w:color w:val="auto"/>
        </w:rPr>
      </w:pPr>
    </w:p>
    <w:p>
      <w:pPr>
        <w:ind w:right="240"/>
        <w:spacing w:after="0" w:line="282" w:lineRule="auto"/>
        <w:rPr>
          <w:sz w:val="20"/>
          <w:szCs w:val="20"/>
          <w:color w:val="auto"/>
        </w:rPr>
      </w:pPr>
      <w:r>
        <w:rPr>
          <w:sz w:val="1"/>
          <w:szCs w:val="1"/>
          <w:color w:val="auto"/>
        </w:rPr>
        <w:drawing>
          <wp:inline distT="0" distB="0" distL="0" distR="0">
            <wp:extent cx="102870" cy="1028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View original content: </w:t>
      </w:r>
      <w:r>
        <w:rPr>
          <w:rFonts w:ascii="Times New Roman" w:cs="Times New Roman" w:eastAsia="Times New Roman" w:hAnsi="Times New Roman"/>
          <w:sz w:val="18"/>
          <w:szCs w:val="18"/>
          <w:u w:val="single" w:color="auto"/>
          <w:color w:val="auto"/>
        </w:rPr>
        <w:t>https://www.prnewswire.com/news-releases/jinko-holdings-announces-change-of-chief-financial-officer-and-appointment-of-new-director-302924850.html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Jinko Holdings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60"/>
      </w:cols>
      <w:pgMar w:left="320" w:top="90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2026-10-30T07:50:20Z</dcterms:created>
  <dcterms:modified xsi:type="dcterms:W3CDTF">2026-10-30T07:50:20Z</dcterms:modified>
</cp:coreProperties>
</file>