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 XIANHUA</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JinkoSolar Holding Co.,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JKS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14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80" w:type="dxa"/>
            <w:vAlign w:val="bottom"/>
            <w:gridSpan w:val="5"/>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1520" w:type="dxa"/>
            <w:vAlign w:val="bottom"/>
            <w:gridSpan w:val="3"/>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 YINGBIN ROAD</w:t>
            </w: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SHANGRAO ECONOMIC DEVELOPMENT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0000FF"/>
              </w:rPr>
              <w:t>ZONE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6"/>
                <w:szCs w:val="16"/>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00" w:type="dxa"/>
            <w:vAlign w:val="bottom"/>
            <w:gridSpan w:val="8"/>
          </w:tcPr>
          <w:p>
            <w:pPr>
              <w:ind w:left="2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JIANGXI</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F4</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334100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gridSpan w:val="5"/>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2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3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3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Peaky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05/13/2026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18"/>
                <w:szCs w:val="18"/>
                <w:color w:val="auto"/>
              </w:rPr>
            </w:pPr>
          </w:p>
        </w:tc>
        <w:tc>
          <w:tcPr>
            <w:tcW w:w="11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rPr>
              <w:t>1,280,000</w:t>
            </w:r>
            <w:r>
              <w:rPr>
                <w:rFonts w:ascii="Times New Roman" w:cs="Times New Roman" w:eastAsia="Times New Roman" w:hAnsi="Times New Roman"/>
                <w:sz w:val="22"/>
                <w:szCs w:val="22"/>
                <w:color w:val="008000"/>
                <w:vertAlign w:val="superscript"/>
              </w:rPr>
              <w:t>(1)(2)</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3"/>
          </w:tcPr>
          <w:p>
            <w:pP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25.53</w:t>
            </w:r>
            <w:r>
              <w:rPr>
                <w:rFonts w:ascii="Times New Roman" w:cs="Times New Roman" w:eastAsia="Times New Roman" w:hAnsi="Times New Roman"/>
                <w:sz w:val="22"/>
                <w:szCs w:val="22"/>
                <w:color w:val="008000"/>
                <w:w w:val="95"/>
                <w:vertAlign w:val="superscript"/>
              </w:rPr>
              <w:t>(3)</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0000FF"/>
              </w:rPr>
              <w:t>10,349,612</w:t>
            </w:r>
          </w:p>
        </w:tc>
        <w:tc>
          <w:tcPr>
            <w:tcW w:w="36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(represented by</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Peaky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restart"/>
          </w:tcPr>
          <w:p>
            <w:pPr>
              <w:jc w:val="center"/>
              <w:ind w:right="220"/>
              <w:spacing w:after="0" w:line="213" w:lineRule="exact"/>
              <w:rPr>
                <w:sz w:val="20"/>
                <w:szCs w:val="20"/>
                <w:color w:val="auto"/>
              </w:rPr>
            </w:pPr>
            <w:r>
              <w:rPr>
                <w:rFonts w:ascii="Times New Roman" w:cs="Times New Roman" w:eastAsia="Times New Roman" w:hAnsi="Times New Roman"/>
                <w:sz w:val="17"/>
                <w:szCs w:val="17"/>
                <w:color w:val="0000FF"/>
              </w:rPr>
              <w:t>40,000</w:t>
            </w:r>
            <w:r>
              <w:rPr>
                <w:rFonts w:ascii="Times New Roman" w:cs="Times New Roman" w:eastAsia="Times New Roman" w:hAnsi="Times New Roman"/>
                <w:sz w:val="22"/>
                <w:szCs w:val="22"/>
                <w:color w:val="008000"/>
                <w:vertAlign w:val="superscript"/>
              </w:rPr>
              <w:t>(4)</w:t>
            </w:r>
          </w:p>
        </w:tc>
        <w:tc>
          <w:tcPr>
            <w:tcW w:w="360" w:type="dxa"/>
            <w:vAlign w:val="bottom"/>
          </w:tcPr>
          <w:p>
            <w:pPr>
              <w:spacing w:after="0"/>
              <w:rPr>
                <w:sz w:val="9"/>
                <w:szCs w:val="9"/>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(2)</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4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sold were in the form of American Depositary Shares ("ADSs").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ADS represents four ordinary shares of the Issuer, par value US$0.00002 per share.</w:t>
      </w:r>
    </w:p>
    <w:p>
      <w:pPr>
        <w:spacing w:after="0" w:line="50"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the price of each ADS sold. This transaction was executed in multiple trades at prices ranging from $24.76 to $26.00; the price reported above reflects the weighted average sale price. The reporting person hereby undertakes to provide full information regarding the number of shares and prices at which the transactions were effected upon request to the SEC staff, the Issuer, or a security holder of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previously reported ADSs.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Xianhua Li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05/15/2026</w:t>
            </w:r>
          </w:p>
        </w:tc>
      </w:tr>
      <w:tr>
        <w:trPr>
          <w:trHeight w:val="20"/>
        </w:trPr>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1286" TargetMode="External"/><Relationship Id="rId14" Type="http://schemas.openxmlformats.org/officeDocument/2006/relationships/hyperlink" Target="http://www.sec.gov/cgi-bin/browse-edgar?action=getcompany&amp;CIK=0001481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2026-05-15T06:43:29Z</dcterms:created>
  <dcterms:modified xsi:type="dcterms:W3CDTF">2026-05-15T06:43:29Z</dcterms:modified>
</cp:coreProperties>
</file>