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088d1_6k.htm"/>
      <w:bookmarkStart w:id="1" w:name="kstm2625088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JinkoSolar Holding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905" w:type="dxa"/>
        <w:jc w:val="left"/>
        <w:tblInd w:w="0" w:type="dxa"/>
        <w:tblLayout w:type="fixed"/>
        <w:tblCellMar>
          <w:top w:w="0" w:type="dxa"/>
          <w:left w:w="0" w:type="dxa"/>
          <w:bottom w:w="28" w:type="dxa"/>
          <w:right w:w="0" w:type="dxa"/>
        </w:tblCellMar>
      </w:tblPr>
      <w:tblGrid>
        <w:gridCol w:w="725"/>
        <w:gridCol w:w="60"/>
        <w:gridCol w:w="21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bl>
    <w:tbl>
      <w:tblPr>
        <w:tblW w:w="10205" w:type="dxa"/>
        <w:jc w:val="left"/>
        <w:tblInd w:w="0" w:type="dxa"/>
        <w:tblLayout w:type="fixed"/>
        <w:tblCellMar>
          <w:top w:w="0" w:type="dxa"/>
          <w:left w:w="0" w:type="dxa"/>
          <w:bottom w:w="0" w:type="dxa"/>
          <w:right w:w="0" w:type="dxa"/>
        </w:tblCellMar>
      </w:tblPr>
      <w:tblGrid>
        <w:gridCol w:w="431"/>
        <w:gridCol w:w="9774"/>
      </w:tblGrid>
      <w:tr>
        <w:trPr/>
        <w:tc>
          <w:tcPr>
            <w:tcW w:w="431" w:type="dxa"/>
            <w:tcBorders/>
            <w:vAlign w:val="center"/>
          </w:tcPr>
          <w:p>
            <w:pPr>
              <w:pStyle w:val="TableContents"/>
              <w:bidi w:val="0"/>
              <w:spacing w:before="0" w:after="283"/>
              <w:jc w:val="left"/>
              <w:rPr/>
            </w:pPr>
            <w:hyperlink w:anchor="tm2625088d1_ex99-1.htm">
              <w:r>
                <w:rPr>
                  <w:rStyle w:val="InternetLink"/>
                  <w:rFonts w:ascii="Times New Roman;Times;Serif" w:hAnsi="Times New Roman;Times;Serif"/>
                  <w:sz w:val="20"/>
                </w:rPr>
                <w:t xml:space="preserve">99.1 </w:t>
              </w:r>
            </w:hyperlink>
          </w:p>
        </w:tc>
        <w:tc>
          <w:tcPr>
            <w:tcW w:w="9774" w:type="dxa"/>
            <w:tcBorders/>
            <w:vAlign w:val="center"/>
          </w:tcPr>
          <w:p>
            <w:pPr>
              <w:pStyle w:val="TableContents"/>
              <w:bidi w:val="0"/>
              <w:spacing w:before="0" w:after="283"/>
              <w:jc w:val="left"/>
              <w:rPr/>
            </w:pPr>
            <w:hyperlink w:anchor="tm2625088d1_ex99-1.htm">
              <w:r>
                <w:rPr>
                  <w:rStyle w:val="InternetLink"/>
                  <w:rFonts w:ascii="Times New Roman;Times;Serif" w:hAnsi="Times New Roman;Times;Serif"/>
                  <w:sz w:val="20"/>
                </w:rPr>
                <w:t>Press release - JinkoSolar Schedules 2026 Annual General Meeting to be Held on October 21, 2026</w:t>
              </w:r>
            </w:hyperlink>
          </w:p>
        </w:tc>
      </w:tr>
      <w:tr>
        <w:trPr/>
        <w:tc>
          <w:tcPr>
            <w:tcW w:w="431" w:type="dxa"/>
            <w:tcBorders/>
            <w:vAlign w:val="center"/>
          </w:tcPr>
          <w:p>
            <w:pPr>
              <w:pStyle w:val="TableContents"/>
              <w:bidi w:val="0"/>
              <w:spacing w:before="0" w:after="283"/>
              <w:jc w:val="left"/>
              <w:rPr/>
            </w:pPr>
            <w:hyperlink w:anchor="tm2625088d1_ex99-2.htm">
              <w:r>
                <w:rPr>
                  <w:rStyle w:val="InternetLink"/>
                  <w:rFonts w:ascii="Times New Roman;Times;Serif" w:hAnsi="Times New Roman;Times;Serif"/>
                  <w:sz w:val="20"/>
                </w:rPr>
                <w:t>99.2</w:t>
              </w:r>
            </w:hyperlink>
          </w:p>
        </w:tc>
        <w:tc>
          <w:tcPr>
            <w:tcW w:w="9774" w:type="dxa"/>
            <w:tcBorders/>
            <w:vAlign w:val="center"/>
          </w:tcPr>
          <w:p>
            <w:pPr>
              <w:pStyle w:val="TableContents"/>
              <w:bidi w:val="0"/>
              <w:spacing w:before="0" w:after="283"/>
              <w:jc w:val="left"/>
              <w:rPr/>
            </w:pPr>
            <w:hyperlink w:anchor="tm2625088d1_ex99-2.htm">
              <w:r>
                <w:rPr>
                  <w:rStyle w:val="InternetLink"/>
                  <w:rFonts w:ascii="Times New Roman;Times;Serif" w:hAnsi="Times New Roman;Times;Serif"/>
                  <w:sz w:val="20"/>
                </w:rPr>
                <w:t>Notice of Annual General Meeting</w:t>
              </w:r>
            </w:hyperlink>
          </w:p>
        </w:tc>
      </w:tr>
      <w:tr>
        <w:trPr/>
        <w:tc>
          <w:tcPr>
            <w:tcW w:w="431" w:type="dxa"/>
            <w:tcBorders/>
            <w:vAlign w:val="center"/>
          </w:tcPr>
          <w:p>
            <w:pPr>
              <w:pStyle w:val="TableContents"/>
              <w:bidi w:val="0"/>
              <w:spacing w:before="0" w:after="283"/>
              <w:jc w:val="left"/>
              <w:rPr/>
            </w:pPr>
            <w:hyperlink w:anchor="tm2625088d1_ex99-3.htm">
              <w:r>
                <w:rPr>
                  <w:rStyle w:val="InternetLink"/>
                  <w:rFonts w:ascii="Times New Roman;Times;Serif" w:hAnsi="Times New Roman;Times;Serif"/>
                  <w:sz w:val="20"/>
                </w:rPr>
                <w:t>99.3</w:t>
              </w:r>
            </w:hyperlink>
          </w:p>
        </w:tc>
        <w:tc>
          <w:tcPr>
            <w:tcW w:w="9774" w:type="dxa"/>
            <w:tcBorders/>
            <w:vAlign w:val="center"/>
          </w:tcPr>
          <w:p>
            <w:pPr>
              <w:pStyle w:val="TableContents"/>
              <w:bidi w:val="0"/>
              <w:spacing w:before="0" w:after="283"/>
              <w:jc w:val="left"/>
              <w:rPr/>
            </w:pPr>
            <w:hyperlink w:anchor="tm2625088d1_ex99-3.htm">
              <w:r>
                <w:rPr>
                  <w:rStyle w:val="InternetLink"/>
                  <w:rFonts w:ascii="Times New Roman;Times;Serif" w:hAnsi="Times New Roman;Times;Serif"/>
                  <w:sz w:val="20"/>
                </w:rPr>
                <w:t>Form of Proxy for Annual General Meeting</w:t>
              </w:r>
            </w:hyperlink>
          </w:p>
        </w:tc>
      </w:tr>
      <w:tr>
        <w:trPr/>
        <w:tc>
          <w:tcPr>
            <w:tcW w:w="431" w:type="dxa"/>
            <w:tcBorders/>
            <w:vAlign w:val="center"/>
          </w:tcPr>
          <w:p>
            <w:pPr>
              <w:pStyle w:val="TableContents"/>
              <w:bidi w:val="0"/>
              <w:spacing w:before="0" w:after="283"/>
              <w:jc w:val="left"/>
              <w:rPr/>
            </w:pPr>
            <w:hyperlink w:anchor="tm2625088d1_ex99-4.htm">
              <w:r>
                <w:rPr>
                  <w:rStyle w:val="InternetLink"/>
                  <w:rFonts w:ascii="Times New Roman;Times;Serif" w:hAnsi="Times New Roman;Times;Serif"/>
                  <w:sz w:val="20"/>
                </w:rPr>
                <w:t>99.4</w:t>
              </w:r>
            </w:hyperlink>
          </w:p>
        </w:tc>
        <w:tc>
          <w:tcPr>
            <w:tcW w:w="9774" w:type="dxa"/>
            <w:tcBorders/>
            <w:vAlign w:val="center"/>
          </w:tcPr>
          <w:p>
            <w:pPr>
              <w:pStyle w:val="TableContents"/>
              <w:bidi w:val="0"/>
              <w:spacing w:before="0" w:after="283"/>
              <w:jc w:val="left"/>
              <w:rPr/>
            </w:pPr>
            <w:hyperlink w:anchor="tm2625088d1_ex99-4.htm">
              <w:r>
                <w:rPr>
                  <w:rStyle w:val="InternetLink"/>
                  <w:rFonts w:ascii="Times New Roman;Times;Serif" w:hAnsi="Times New Roman;Times;Serif"/>
                  <w:sz w:val="20"/>
                </w:rPr>
                <w:t>Press release - JinkoSolar Announces Proposed Change of Company Name to Jinko Holdings Limited and Provides Strategic Investment Update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5088d1_ex99-1.htm"/>
      <w:bookmarkStart w:id="3" w:name="kstm262508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Schedules 2026 Annual General Meeting to be Held on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Sept. 9, 2026 /PRNewswire/ -- JinkoSolar Holding Co., Ltd. (the “Company,” or “JinkoSolar”) (NYSE: JKS), today announced that it will hold its 2026 annual general meeting on Wednesday, October 21, 2026 at 10:00 a.m. (Beijing time) at 10F, No.1, Lane 1466, Shenchang Road, Minhang District, Shanghai, China, for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re-elect Mr. Gang Chu as an independent director of the Company; </w:t>
      </w:r>
    </w:p>
    <w:p>
      <w:pPr>
        <w:pStyle w:val="TextBody"/>
        <w:bidi w:val="0"/>
        <w:spacing w:before="0" w:after="0"/>
        <w:ind w:left="4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re-elect Mr. Steven Markscheid as an independent director of the Company; </w:t>
      </w:r>
    </w:p>
    <w:p>
      <w:pPr>
        <w:pStyle w:val="TextBody"/>
        <w:bidi w:val="0"/>
        <w:spacing w:before="0" w:after="0"/>
        <w:ind w:left="600" w:right="420" w:hanging="182"/>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ratify the appointment of PricewaterhouseCoopers Zhong Tian LLP as auditors of the Company for the fiscal year of 2026; </w:t>
      </w:r>
    </w:p>
    <w:p>
      <w:pPr>
        <w:pStyle w:val="TextBody"/>
        <w:bidi w:val="0"/>
        <w:spacing w:before="0" w:after="0"/>
        <w:ind w:left="4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authorize the directors of the Company to determine the remuneration of the Company’s auditors; </w:t>
      </w:r>
    </w:p>
    <w:p>
      <w:pPr>
        <w:pStyle w:val="TextBody"/>
        <w:bidi w:val="0"/>
        <w:spacing w:before="0" w:after="0"/>
        <w:ind w:left="4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change the English name of the Company from “JinkoSolar Holding Co., Ltd.” to “Jinko Holdings Limited”; </w:t>
      </w:r>
    </w:p>
    <w:p>
      <w:pPr>
        <w:pStyle w:val="TextBody"/>
        <w:bidi w:val="0"/>
        <w:spacing w:before="0" w:after="0"/>
        <w:ind w:left="4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adopt “</w:t>
      </w:r>
      <w:r>
        <w:rPr>
          <w:rFonts w:eastAsia="Times New Roman;Times;Serif"/>
          <w:b w:val="false"/>
          <w:i w:val="false"/>
          <w:caps w:val="false"/>
          <w:smallCaps w:val="false"/>
          <w:sz w:val="20"/>
        </w:rPr>
        <w:t xml:space="preserve">晶科控股有限公司” </w:t>
      </w:r>
      <w:r>
        <w:rPr>
          <w:rFonts w:ascii="Times New Roman;Times;Serif" w:hAnsi="Times New Roman;Times;Serif"/>
          <w:b w:val="false"/>
          <w:i w:val="false"/>
          <w:caps w:val="false"/>
          <w:smallCaps w:val="false"/>
          <w:sz w:val="20"/>
        </w:rPr>
        <w:t>as the dual foreign name of the Company; </w:t>
      </w:r>
    </w:p>
    <w:p>
      <w:pPr>
        <w:pStyle w:val="TextBody"/>
        <w:bidi w:val="0"/>
        <w:spacing w:before="0" w:after="0"/>
        <w:ind w:left="600" w:right="860" w:hanging="182"/>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authorize each of the directors of the Company to take any and all action that might be necessary to effect the foregoing resolutions as such director, in his or her absolute discretion, thinks fit; </w:t>
      </w:r>
    </w:p>
    <w:p>
      <w:pPr>
        <w:pStyle w:val="TextBody"/>
        <w:bidi w:val="0"/>
        <w:spacing w:before="0" w:after="0"/>
        <w:ind w:left="600" w:right="320" w:hanging="182"/>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receive and consider the audited financial statements and the report of the auditors for the year ended December 31, 2025, and the report of the board of directors; and </w:t>
      </w:r>
    </w:p>
    <w:p>
      <w:pPr>
        <w:pStyle w:val="TextBody"/>
        <w:bidi w:val="0"/>
        <w:spacing w:before="0" w:after="0"/>
        <w:ind w:left="600" w:right="960" w:hanging="182"/>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act upon such other matters as may properly come before our annual general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6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September 21, 2026 (New York time) are entitled to receive notice of and to vote at the Company’s annual general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the Company’s annual general meeting and the Company’s 2025 Annual Report, containing the complete audited financial statements and the report of auditors for the year ended December 31, 2025, together with the report of the board of directors, are available on the Investor Relations Section of the Company’s website at </w:t>
      </w:r>
      <w:r>
        <w:rPr>
          <w:rFonts w:ascii="Times New Roman;Times;Serif" w:hAnsi="Times New Roman;Times;Serif"/>
          <w:b w:val="false"/>
          <w:i w:val="false"/>
          <w:caps w:val="false"/>
          <w:smallCaps w:val="false"/>
          <w:sz w:val="20"/>
          <w:u w:val="single"/>
        </w:rPr>
        <w:t>www.jinkosolar.com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to all shareholders, upon request, a hard copy of the Company’s 2025 Annual Report and the report of the board of directors free of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has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View original content: </w:t>
      </w:r>
      <w:r>
        <w:rPr>
          <w:rFonts w:ascii="Times New Roman;Times;Serif" w:hAnsi="Times New Roman;Times;Serif"/>
          <w:b w:val="false"/>
          <w:i w:val="false"/>
          <w:caps w:val="false"/>
          <w:smallCaps w:val="false"/>
          <w:sz w:val="20"/>
          <w:u w:val="single"/>
        </w:rPr>
        <w:t>https://www.prnewswire.com/news-releases/jinkosolar-schedules-2026-annual-general-meeting-to-be-held-on-october-21-2026-302873613.html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JinkoSolar Holding Co., Ltd.</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tm2625088d1_ex99-2.htm"/>
      <w:bookmarkStart w:id="5" w:name="kstm2625088d1_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HOLDING CO., LTD.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GENERAL MEETING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an annual general meeting of JinkoSolar Holding Co., Ltd. (the “Company”) will be held at 10F, No.1, Lane 1466, Shenchang Road, Minhang District, Shanghai, China on October 21, 2026 at 10:00 a.m. (Beijing time) for the purpose of considering and, if thought fit, passing and approving the following resolutions: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1.</w:t>
            </w:r>
          </w:p>
        </w:tc>
        <w:tc>
          <w:tcPr>
            <w:tcW w:w="9988" w:type="dxa"/>
            <w:tcBorders/>
            <w:vAlign w:val="center"/>
          </w:tcPr>
          <w:p>
            <w:pPr>
              <w:pStyle w:val="TableContents"/>
              <w:bidi w:val="0"/>
              <w:spacing w:before="0" w:after="283"/>
              <w:jc w:val="both"/>
              <w:rPr/>
            </w:pPr>
            <w:r>
              <w:rPr/>
              <w:t>As an ordinary resolution that Mr. Gang Chu (whose resume is attached hereto as Exhibit A) be re-elected as an independent director of the Company;</w:t>
            </w:r>
          </w:p>
        </w:tc>
      </w:tr>
    </w:tbl>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2.</w:t>
            </w:r>
          </w:p>
        </w:tc>
        <w:tc>
          <w:tcPr>
            <w:tcW w:w="9990" w:type="dxa"/>
            <w:tcBorders/>
            <w:vAlign w:val="center"/>
          </w:tcPr>
          <w:p>
            <w:pPr>
              <w:pStyle w:val="TableContents"/>
              <w:bidi w:val="0"/>
              <w:spacing w:before="0" w:after="283"/>
              <w:jc w:val="both"/>
              <w:rPr/>
            </w:pPr>
            <w:r>
              <w:rPr/>
              <w:t>As an ordinary resolution that Mr. Steven Markscheid (whose resume is attached hereto as Exhibit A) be re-elected as an independent director of the Company;</w:t>
            </w:r>
          </w:p>
        </w:tc>
      </w:tr>
    </w:tbl>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3.</w:t>
            </w:r>
          </w:p>
        </w:tc>
        <w:tc>
          <w:tcPr>
            <w:tcW w:w="9992" w:type="dxa"/>
            <w:tcBorders/>
            <w:vAlign w:val="center"/>
          </w:tcPr>
          <w:p>
            <w:pPr>
              <w:pStyle w:val="TableContents"/>
              <w:bidi w:val="0"/>
              <w:spacing w:before="0" w:after="283"/>
              <w:jc w:val="both"/>
              <w:rPr/>
            </w:pPr>
            <w:r>
              <w:rPr/>
              <w:t>As an ordinary resolution that the appointment of PricewaterhouseCoopers Zhong Tian LLP as auditors of the Company for the fiscal year of 2026 be ratified;</w:t>
            </w:r>
          </w:p>
        </w:tc>
      </w:tr>
    </w:tbl>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4.</w:t>
            </w:r>
          </w:p>
        </w:tc>
        <w:tc>
          <w:tcPr>
            <w:tcW w:w="9984" w:type="dxa"/>
            <w:tcBorders/>
            <w:vAlign w:val="center"/>
          </w:tcPr>
          <w:p>
            <w:pPr>
              <w:pStyle w:val="TableContents"/>
              <w:bidi w:val="0"/>
              <w:spacing w:before="0" w:after="283"/>
              <w:jc w:val="both"/>
              <w:rPr/>
            </w:pPr>
            <w:r>
              <w:rPr/>
              <w:t>As an ordinary resolution that the directors of the Company be authorized to determine the remuneration of the Company’s auditors; and</w:t>
            </w:r>
          </w:p>
        </w:tc>
      </w:tr>
    </w:tbl>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85" w:type="dxa"/>
            <w:tcBorders/>
            <w:vAlign w:val="center"/>
          </w:tcPr>
          <w:p>
            <w:pPr>
              <w:pStyle w:val="TableContents"/>
              <w:bidi w:val="0"/>
              <w:spacing w:before="0" w:after="283"/>
              <w:jc w:val="both"/>
              <w:rPr/>
            </w:pPr>
            <w:r>
              <w:rPr/>
              <w:t>As a special resolution that the English name of the Company be changed from “JinkoSolar Holding Co., Ltd.” to “Jinko Holdings Limited”.</w:t>
            </w:r>
          </w:p>
        </w:tc>
      </w:tr>
    </w:tbl>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6.</w:t>
            </w:r>
          </w:p>
        </w:tc>
        <w:tc>
          <w:tcPr>
            <w:tcW w:w="9965" w:type="dxa"/>
            <w:tcBorders/>
            <w:vAlign w:val="center"/>
          </w:tcPr>
          <w:p>
            <w:pPr>
              <w:pStyle w:val="TableContents"/>
              <w:bidi w:val="0"/>
              <w:spacing w:before="0" w:after="283"/>
              <w:jc w:val="both"/>
              <w:rPr/>
            </w:pPr>
            <w:r>
              <w:rPr/>
              <w:t>As a special resolution that “</w:t>
            </w:r>
            <w:r>
              <w:rPr/>
              <w:t xml:space="preserve">晶科控股有限公司” </w:t>
            </w:r>
            <w:r>
              <w:rPr/>
              <w:t>be adopted as the dual foreign name of the Company.</w:t>
            </w:r>
          </w:p>
        </w:tc>
      </w:tr>
    </w:tbl>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7.</w:t>
            </w:r>
          </w:p>
        </w:tc>
        <w:tc>
          <w:tcPr>
            <w:tcW w:w="10003" w:type="dxa"/>
            <w:tcBorders/>
            <w:vAlign w:val="center"/>
          </w:tcPr>
          <w:p>
            <w:pPr>
              <w:pStyle w:val="TableContents"/>
              <w:bidi w:val="0"/>
              <w:spacing w:before="0" w:after="283"/>
              <w:jc w:val="both"/>
              <w:rPr/>
            </w:pPr>
            <w:r>
              <w:rPr/>
              <w:t>As an ordinary resolution that each of the directors of the Company be authorized to take any and all action that might be necessary to effect the foregoing resolutions 1 to 6 as such director, in his or her absolute discretion, thinks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September 21, 2026 (New York time) as the record date (the “Record Date”). All holders of our ordinary shares, whether or not represented by American depositary shares (the “ADSs”), on the Record Date are entitled to receive notice of and to vote at our annual general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copy of the Company’s 2025 Annual Report, containing the complete audited financial statements and report of the auditors for the year ended December 31, 2025, and the report of the board of directors, please visit the Investor Relations Section of the Company’s website at </w:t>
      </w:r>
      <w:r>
        <w:rPr>
          <w:rFonts w:ascii="Times New Roman;Times;Serif" w:hAnsi="Times New Roman;Times;Serif"/>
          <w:b w:val="false"/>
          <w:i/>
          <w:caps w:val="false"/>
          <w:smallCaps w:val="false"/>
          <w:sz w:val="20"/>
        </w:rPr>
        <w:t>www.jinkosolar.com</w:t>
      </w:r>
      <w:r>
        <w:rPr>
          <w:rFonts w:ascii="Times New Roman;Times;Serif" w:hAnsi="Times New Roman;Times;Serif"/>
          <w:b w:val="false"/>
          <w:i w:val="false"/>
          <w:caps w:val="false"/>
          <w:smallCaps w:val="false"/>
          <w:sz w:val="20"/>
        </w:rPr>
        <w:t>. We will provide all shareholders, upon request, a hard copy of our 2025 Annual Report free of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office at 10F, No.1, Lane 1466, Shenchang Road, Minhang District, Shanghai, China, Attention: Ms. Jojo Chang, or by email to jojo.chang@jinkosolar.com or by fax to Ms. Jojo Chang at 0086-21-51808600 as soon as possible and in any event no later than 10:00 a.m. October 19, 2026 (Beijing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holder of our ADSs as at the Record Date, the depositary, JPMorgan Chase Bank, N.A., will forward to you the information of our annual general meeting and ask you to provide your voting instructions with respect to the ordinary shares represented by your ADSs. Holders of our ADSs who wish to exercise their voting rights for the underlying ordinary shares represented by the ADSs must act through the depository. For your voting instructions to be valid, you must comply with the instructions provided by or on behalf of the depositary, and the depositary must receive your voting instructions in the manner and on or before the date specified. The depositary will try, to the extent practicable and legally permissible, subject to the provisions of or governing the underlying ordinary shares, to vote or to have its agents vote the ordinary shares as you instruct. The depositary shall, in the manner and on or before the time established by the depositary for such purpose, endeavor to vote or cause to be voted the underlying ordinary shares represented by the ADSs in accordance with your instructions insofar as practicable and permitted under the provisions of or governing the ordinary shares. The depositary will not itself exercise any voting discretion. Furthermore, neither the depositary nor its agents are responsible for any failure to carry out any voting instructions, for the manner in which any vote is cast or for the effect of any vote.</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Xiande Li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Resume of candidates for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Gang Chu has been an independent director of our company since August 2024. Mr. Gang Chu served as the chief operating officer and a member of the management committee of China International Capital Corporation Limited (“CICC”) from March 2015 to February 2024. Between November 2015 and August 2024, he served as a director on the boards of various subsidiaries of CICC. Between May 2009 and March 2015, he held various leadership roles at CICC, including as the head of strategy research in the research department, the head of capital markets, and the deputy chief operating officer of CICC. Prior to joining CICC, he worked at Citigroup from September 1993 to August 2008, holding various roles, including risk manager of emerging markets, proprietary trader of U.S. municipal bonds, the head of the Latin American equity derivatives business, and a managing director of the Citigroup Alternative Investments. Mr. Chu obtained a bachelor’s degree in physics from the University of Science and Technology of China in July 1987 and a Ph.D. in theoretical physics from Northeastern University in the United States in September 1993. He also attended the Leonard N. Stern School of Business of New York University from September 1996 to June 1997. Mr. Chu became a Chartered Financial Analyst in September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Markscheid is the managing partner of Aerion Capital, a family office, and chairman-emeritus and senior advisor of KX Power, a UK-based battery energy storage project developer. He serves as an independent non-executive director of Richtech Robotics, ConnectM Corporation, Charlton Aria Acquisition Corporation, Pantages Acquisition Corporation, Starry Sea Acquisition Corporation, and is CFO of Future Money Acquisition Corporation. He is also a trustee-emeritus of Princeton in Asia. From 1998 to 2006, Mr. Markscheid worked for GE Capital. During his time with GE, he led GE Capital’s business development activities in China and Asia Pacific, primarily acquisitions and direct investments. Prior to GE, he worked with the Boston Consulting Group throughout Asia. Mr. Markscheid was a commercial banker for ten years in London, Chicago, New York, Hong Kong and Beijing with Chase Manhattan Bank and First National Bank of Chicago. He began his career with the US-China Business Council, in Washington D.C. and Beijing. He received his bachelor’s degree in East Asian Studies from Princeton University in 1976, his master’s degree in international affairs from Johns Hopkins University in 1980 and an MBA from Columbia University in 1991.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tm2625088d1_ex99-3.htm"/>
      <w:bookmarkStart w:id="7" w:name="kstm2625088d1_ex993"/>
      <w:bookmarkEnd w:id="6"/>
      <w:bookmarkEnd w:id="7"/>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HOLDING CO., LTD.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PROXY FOR THE ANNUAL GENERAL MEETING</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21, 2026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We,_____________________________________of______________________________________________________, being the registered holder of ________________ordinary shares, par value US$0.00002 per share in the share capital of JINKOSOLAR HOLDING CO., LTD. (the “Company”) hereby appoint ________________________, or failing him/her, the Chairman of the annual general meeting, as our proxy to attend and act on our behalf at the annual general meeting of the Company to be held at 10F, No.1, Lane 1466, Shenchang Road, Minhang District, Shanghai, China on October 21, 2026 at 10:00 a.m. (Beijing time), and at any adjournment(s) or postponement(s) thereof. Our proxy is instructed to vote on a poll or on a show of hands on the resolutions in respect of the matters specified in the Notice of the Annual General Meeting as indicated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48"/>
        <w:gridCol w:w="6467"/>
        <w:gridCol w:w="691"/>
        <w:gridCol w:w="1448"/>
        <w:gridCol w:w="1451"/>
      </w:tblGrid>
      <w:tr>
        <w:trPr/>
        <w:tc>
          <w:tcPr>
            <w:tcW w:w="661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ORDINARY RESOLUTIONS</w:t>
            </w:r>
          </w:p>
        </w:tc>
        <w:tc>
          <w:tcPr>
            <w:tcW w:w="359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tick “√”or insert the number of shares to be voted for or against or to abstain in the appropriate column below</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Mr. Gang Chu be re-elected as an independent director of the Company.</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Mr. Steven Markscheid be re-elected as an independent director of the Company.</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the appointment of PricewaterhouseCoopers Zhong Tian LLP as auditors of the Company for the fiscal year of 2026 be ratified.</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the directors of the Company be authorized to determine the remuneration of the Company’s auditors.</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661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RESOLUTIONS</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the English name of the Company be changed from “JinkoSolar Holding Co., Ltd.” to “Jinko Holdings Limited”.</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That “</w:t>
            </w:r>
            <w:r>
              <w:rPr>
                <w:rFonts w:eastAsia="Times New Roman;Times;Serif"/>
                <w:sz w:val="20"/>
              </w:rPr>
              <w:t xml:space="preserve">晶科控股有限公司” </w:t>
            </w:r>
            <w:r>
              <w:rPr>
                <w:rFonts w:ascii="Times New Roman;Times;Serif" w:hAnsi="Times New Roman;Times;Serif"/>
                <w:sz w:val="20"/>
              </w:rPr>
              <w:t>be adopted as the dual foreign name of the Company.</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661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ORDINARY RESOLUTIONS</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1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4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each of the directors of the Company be authorized to take any and all action that might be necessary to effect the foregoing resolutions 1 to 6 as such director, in his or her absolute discretion, thinks fit.</w:t>
            </w:r>
          </w:p>
        </w:tc>
        <w:tc>
          <w:tcPr>
            <w:tcW w:w="6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4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under the hand of the appointor or of his attorney duly authorized in writing or, if the appointor is a corporation, either under its common seal or under the hand of an officer or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Only the holders of record of the ordinary shares of the Company at the close of business on September 21, 2026 (New York time) should use this form of proxy.</w:t>
            </w:r>
          </w:p>
        </w:tc>
      </w:tr>
    </w:tbl>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If you are the holder of two or more ordinary shares, you may appoint more than one proxy to represent you and vote on your behalf at the annual general meeting. A proxy need not be a shareholder. Please insert the name of the person(s) of your own choice that you wish to be appointed your proxy in the space provided, failing which the chairman of the annual general meeting will be appointed as your proxy.</w:t>
            </w:r>
          </w:p>
        </w:tc>
      </w:tr>
    </w:tbl>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283"/>
              <w:jc w:val="both"/>
              <w:rPr/>
            </w:pPr>
            <w:r>
              <w:rPr/>
              <w:t>Submission of the executed proxies shall not preclude you from attending and voting at the annual general meeting in person and in such event, the appointment of a proxy shall be deemed to be revoked.</w:t>
            </w:r>
          </w:p>
        </w:tc>
      </w:tr>
    </w:tbl>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4" w:type="dxa"/>
            <w:tcBorders/>
            <w:vAlign w:val="center"/>
          </w:tcPr>
          <w:p>
            <w:pPr>
              <w:pStyle w:val="TableContents"/>
              <w:bidi w:val="0"/>
              <w:spacing w:before="0" w:after="283"/>
              <w:jc w:val="both"/>
              <w:rPr/>
            </w:pPr>
            <w:r>
              <w:rPr/>
              <w:t>Please indicate your voting preference by ticking, or inserting in the number of shares to be voted for or against or to abstain, the boxes above in respect of each resolution. The ordinary shares represented by all properly executed proxies returned to the Company before 10:00 a.m. October 19, 2026 (Beijing time), being the deadline for return of such proxies, will be voted by the proxy holder at the annual general meeting as indicated or, if no instruction is given, your proxy will vote or abstain at his/her discretion. As to any other business that may properly come before the annual general meeting, the ordinary shares represented by all properly executed proxies will be voted in accordance with the discretion of proxy holders. The Company does not presently know of any other business which may come before the annual general meeting. However, if any other matter properly comes before the annual general meeting, or any adjournment or postponement thereof, which may properly be acted upon, unless otherwise indicated, the proxies solicited hereby will be voted on such matter in accordance with the discretion of the proxy holders named therein.</w:t>
            </w:r>
          </w:p>
        </w:tc>
      </w:tr>
    </w:tbl>
    <w:tbl>
      <w:tblPr>
        <w:tblW w:w="5000" w:type="pct"/>
        <w:jc w:val="left"/>
        <w:tblInd w:w="0" w:type="dxa"/>
        <w:tblLayout w:type="fixed"/>
        <w:tblCellMar>
          <w:top w:w="0" w:type="dxa"/>
          <w:left w:w="0" w:type="dxa"/>
          <w:bottom w:w="0" w:type="dxa"/>
          <w:right w:w="0" w:type="dxa"/>
        </w:tblCellMar>
      </w:tblPr>
      <w:tblGrid>
        <w:gridCol w:w="43"/>
        <w:gridCol w:w="230"/>
        <w:gridCol w:w="9932"/>
      </w:tblGrid>
      <w:tr>
        <w:trPr/>
        <w:tc>
          <w:tcPr>
            <w:tcW w:w="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283"/>
              <w:jc w:val="both"/>
              <w:rPr/>
            </w:pPr>
            <w:r>
              <w:rPr/>
              <w:t>Any alteration made to this form of proxy must be initialed by the persons(s) who sign(s) it.</w:t>
            </w:r>
          </w:p>
        </w:tc>
      </w:tr>
    </w:tbl>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both"/>
              <w:rPr/>
            </w:pPr>
            <w:r>
              <w:rPr/>
              <w:t>Whether or not you propose to attend the relevant meeting(s) in person, you are strongly advised to complete and return this form of proxy in accordance with these instructions. To be valid, please mark, sign, date and return the form of proxy (together with any power of attorney or other authority under which it is signed or a notarized and/or duly certified copy of that power or authority) by mail to the Company at 10F, No.1, Lane 1466, Shenchang Road, Minhang District, Shanghai, China, Attention: Ms. Jojo Chang, or send copies of the foregoing by email to jojo.chang@jinkosolar.com or by fax to Ms. Jojo Chang at 0086-21-51808600, as soon as possible and in any event no later than 10:00 a.m. October 19, 2026 (Beijing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5088d1_ex99-4.htm"/>
      <w:bookmarkStart w:id="9" w:name="kstm2625088d1_ex994"/>
      <w:bookmarkEnd w:id="8"/>
      <w:bookmarkEnd w:id="9"/>
      <w:r>
        <w:rPr/>
        <w:t> </w:t>
      </w:r>
      <w:r>
        <w:br w:type="page"/>
      </w:r>
    </w:p>
    <w:p>
      <w:pPr>
        <w:pStyle w:val="TextBody"/>
        <w:bidi w:val="0"/>
        <w:jc w:val="right"/>
        <w:rPr>
          <w:b/>
        </w:rPr>
      </w:pPr>
      <w:r>
        <w:rPr>
          <w:b/>
        </w:rPr>
        <w:t>Exhibit 99.4</w:t>
      </w:r>
    </w:p>
    <w:p>
      <w:pPr>
        <w:pStyle w:val="TextBody"/>
        <w:bidi w:val="0"/>
        <w:spacing w:before="0" w:after="283"/>
        <w:jc w:val="left"/>
        <w:rPr/>
      </w:pPr>
      <w:r>
        <w:rPr/>
        <w:t> </w:t>
      </w:r>
    </w:p>
    <w:p>
      <w:pPr>
        <w:pStyle w:val="TextBody"/>
        <w:bidi w:val="0"/>
        <w:spacing w:before="0" w:after="0"/>
        <w:ind w:left="140" w:right="1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Announces Proposed Change of Company Name to Jinko Holdings Limited and Provides Strategic Investment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09/09/2026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caps w:val="false"/>
          <w:smallCaps w:val="false"/>
        </w:rPr>
      </w:pPr>
      <w:r>
        <w:rPr>
          <w:rFonts w:ascii="Times New Roman;Times;Serif" w:hAnsi="Times New Roman;Times;Serif"/>
          <w:b w:val="false"/>
          <w:i w:val="false"/>
          <w:caps w:val="false"/>
          <w:smallCaps w:val="false"/>
          <w:sz w:val="20"/>
        </w:rPr>
        <w:t>SHANGRAO, China, Sept. 9, 2026 /PRNewswire/ -- JinkoSolar Holding Co., Ltd. (“JinkoSolar” or the “Company”) (NYSE: JKS), today announced that its board of directors (the “Board”) has approved a proposal to change the Company’s English name to “Jinko Holdings Limited” and adopt “</w:t>
      </w:r>
      <w:r>
        <w:rPr>
          <w:rFonts w:eastAsia="Times New Roman;Times;Serif"/>
          <w:b w:val="false"/>
          <w:i w:val="false"/>
          <w:caps w:val="false"/>
          <w:smallCaps w:val="false"/>
          <w:sz w:val="20"/>
        </w:rPr>
        <w:t xml:space="preserve">晶科控股有限公司” </w:t>
      </w:r>
      <w:r>
        <w:rPr>
          <w:rFonts w:ascii="Times New Roman;Times;Serif" w:hAnsi="Times New Roman;Times;Serif"/>
          <w:b w:val="false"/>
          <w:i w:val="false"/>
          <w:caps w:val="false"/>
          <w:smallCaps w:val="false"/>
          <w:sz w:val="20"/>
        </w:rPr>
        <w:t>as its dual foreign name (the “Proposed Name Change”). The Proposed Name Change is subject to the approval of the Company’s shareholders at its annual general meeting to be held on October 21, 2026, and to the completion of applicable regulatory procedures. Following completion of the Proposed Name Change, the Company’s American depositary shares are expected to continue trading on the New York Stock Exchange under the ticker symbol “JKS.”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Name Change reflects the evolution of the Company’s role at the group-level following the listing and continued development of Jinko Solar Co., Ltd. (SSE: 688223), its majority-owned principal operating subsidiary and a global leader in clean energy technology. The Company intends to operate through two complementary engines of value-creation. The first is industrial holdings, through which the Company will continue to support and maintain its controlling ownership in Jinko Solar Co., Ltd., whose integrated solar and energy storage operations remain the core foundation of the group. The second is strategic investment, through which the Company will pursue minority investments in high-growth sectors benefiting from China’s continued technological innovation, industrial upgrading and energy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its industrial experience and insights in solar and energy storage, the Company will focus on artificial intelligence, renewable energy, advanced materials, commercial space and other frontier technologies. Through disciplined capital allocation and active portfolio management, the Company aims to support the development of its portfolio companies and to create sustainable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3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investments in its current portfolio include Moonshot AI, StepFun, SiliconFlow, Noetix Robotics, Taiyi Quantum and Janbon Metallic Materials, spanning foundation models, AI infrastructure and inference services, AI and humanoid robotics, quantum technology, and advanced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developments involving certain portfolio companies, in each case based on publicly available information, include the following: Moonshot AI completed a financing round of approximately US$2.0 billion in May 2026 at a reported post-money valuation of approximately US$20 billion; StepFun completed a Series B+ financing round of more than RMB5.0 billion in January 2026; Taiyi Quantum completed a pre-Series A financing round of approximately RMB300 million in June 2026; SiliconFlow and Jinan Janbon Metallic Materials Co., Ltd. (“Janbon Metallic Materials”) submitted listing applications to The Stock Exchange of Hong Kong Limited (“HKEX”) in June and July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5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proposed listing or other liquidity event will be completed. The financing and valuation references above are based on publicly available information, have not been independently verified by the Company and do not necessarily represent the fair values recognized by the Company or the amounts that may ultimately be realized by the Company from these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advancing the realization of portfolio value through liquidity events and disciplined exits. Hangzhou Gold Electronic Equipment Co., Ltd. (“Gold Electronic”) completed its listing on the ChiNext Market in the second quarter of 2026, creating an additional pathway for future value realization. The Company recorded fair value gains of over RMB400 million on a consolidated basis in the first half of 2026 in respect of this 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the Company disposed of a substantial portion of its equity interest in LAPLACE Renewable Energy Technology Co., Ltd. (“LAPLACE”), generating cash proceeds of more than RMB300 million. Since its initial investment, the cumulative realized gain on this disposal, net of original cost and transaction fees, exceeded RMB250 million. This gain was recognized across multiple periods through fair value adjustments following LAPLACE’s initial public offering in late 2024, with over RMB100 million recorded in change in fair value of long-term investments upon settlement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proposed new name reflects what the Company has become, a holding company anchored in a world-class solar and energy storage business and building a second engine of value creation through strategic investment,” said Mr. Dimi Du, Chief Executive Officer of JinkoSolar. “Our strategic investment approach is disciplined and long-term oriented. Building on our established capabilities and industry insights in solar and energy storage, we are pursuing opportunities arising from the global energy transition while selectively investing in artificial intelligence and other frontier technologies. We believe these investments can broaden the Company’s access to innovation, create potential synergies with our existing businesses and provide an additional source of long-term value creation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representative strategic investments and recent value-realization events is provided in Appendix I to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 — Representative Strategic Investments and Value-Realization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Representative Current Holdings (RMB million unless otherwise stated)</w:t>
      </w:r>
    </w:p>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10" w:type="dxa"/>
        <w:tblLayout w:type="fixed"/>
        <w:tblCellMar>
          <w:top w:w="28" w:type="dxa"/>
          <w:left w:w="40" w:type="dxa"/>
          <w:bottom w:w="28" w:type="dxa"/>
          <w:right w:w="40" w:type="dxa"/>
        </w:tblCellMar>
      </w:tblPr>
      <w:tblGrid>
        <w:gridCol w:w="2165"/>
        <w:gridCol w:w="2165"/>
        <w:gridCol w:w="4475"/>
      </w:tblGrid>
      <w:tr>
        <w:trPr/>
        <w:tc>
          <w:tcPr>
            <w:tcW w:w="21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Portfolio Company</w:t>
            </w:r>
          </w:p>
        </w:tc>
        <w:tc>
          <w:tcPr>
            <w:tcW w:w="21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Initial Investment*</w:t>
            </w:r>
          </w:p>
        </w:tc>
        <w:tc>
          <w:tcPr>
            <w:tcW w:w="44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Liquidity Event/ Milestone</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Moonshot AI</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69.0</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StepFun</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SiliconFlow</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70.0</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Submitted a listing application to HKEX in June 2026.</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Noetix Robotics</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Taiyi Quantum</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Janbon Metallic Materials</w:t>
            </w:r>
          </w:p>
        </w:tc>
        <w:tc>
          <w:tcPr>
            <w:tcW w:w="2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c>
          <w:tcPr>
            <w:tcW w:w="44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Submitted a listing application to HKEX in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Value Realization and Liquidity Events (RMB million unless otherwise stated)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40" w:type="dxa"/>
          <w:bottom w:w="0" w:type="dxa"/>
          <w:right w:w="40" w:type="dxa"/>
        </w:tblCellMar>
      </w:tblPr>
      <w:tblGrid>
        <w:gridCol w:w="974"/>
        <w:gridCol w:w="967"/>
        <w:gridCol w:w="1254"/>
        <w:gridCol w:w="1131"/>
        <w:gridCol w:w="3585"/>
        <w:gridCol w:w="1691"/>
        <w:gridCol w:w="603"/>
      </w:tblGrid>
      <w:tr>
        <w:trPr/>
        <w:tc>
          <w:tcPr>
            <w:tcW w:w="974"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 </w:t>
            </w:r>
          </w:p>
        </w:tc>
        <w:tc>
          <w:tcPr>
            <w:tcW w:w="967"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r>
          </w:p>
        </w:tc>
        <w:tc>
          <w:tcPr>
            <w:tcW w:w="1254"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13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358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691"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603"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r>
      <w:tr>
        <w:trPr/>
        <w:tc>
          <w:tcPr>
            <w:tcW w:w="974" w:type="dxa"/>
            <w:tcBorders>
              <w:left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Portfolio</w:t>
            </w:r>
          </w:p>
        </w:tc>
        <w:tc>
          <w:tcPr>
            <w:tcW w:w="96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Initial</w:t>
            </w:r>
          </w:p>
        </w:tc>
        <w:tc>
          <w:tcPr>
            <w:tcW w:w="1254"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Liquidity</w:t>
            </w:r>
          </w:p>
        </w:tc>
        <w:tc>
          <w:tcPr>
            <w:tcW w:w="1131"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w:t>
            </w:r>
          </w:p>
        </w:tc>
        <w:tc>
          <w:tcPr>
            <w:tcW w:w="3585"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691"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Fair-value</w:t>
            </w:r>
          </w:p>
        </w:tc>
        <w:tc>
          <w:tcPr>
            <w:tcW w:w="60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w:t>
            </w:r>
          </w:p>
        </w:tc>
      </w:tr>
      <w:tr>
        <w:trPr/>
        <w:tc>
          <w:tcPr>
            <w:tcW w:w="974"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Company</w:t>
            </w:r>
          </w:p>
        </w:tc>
        <w:tc>
          <w:tcPr>
            <w:tcW w:w="9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Investment*</w:t>
            </w:r>
          </w:p>
        </w:tc>
        <w:tc>
          <w:tcPr>
            <w:tcW w:w="125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Event</w:t>
            </w:r>
          </w:p>
        </w:tc>
        <w:tc>
          <w:tcPr>
            <w:tcW w:w="113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Proceeds</w:t>
            </w:r>
          </w:p>
        </w:tc>
        <w:tc>
          <w:tcPr>
            <w:tcW w:w="35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Realized Gain</w:t>
            </w:r>
          </w:p>
        </w:tc>
        <w:tc>
          <w:tcPr>
            <w:tcW w:w="169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Gain*</w:t>
            </w:r>
          </w:p>
        </w:tc>
        <w:tc>
          <w:tcPr>
            <w:tcW w:w="60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30, 2026</w:t>
            </w:r>
          </w:p>
        </w:tc>
      </w:tr>
      <w:tr>
        <w:trPr/>
        <w:tc>
          <w:tcPr>
            <w:tcW w:w="974"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 Electronic</w:t>
            </w:r>
          </w:p>
        </w:tc>
        <w:tc>
          <w:tcPr>
            <w:tcW w:w="9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w:t>
            </w:r>
          </w:p>
        </w:tc>
        <w:tc>
          <w:tcPr>
            <w:tcW w:w="125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Listed on the ChiNext Market in Q2 2026.</w:t>
            </w:r>
          </w:p>
        </w:tc>
        <w:tc>
          <w:tcPr>
            <w:tcW w:w="113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9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 RMB400 million in 1H 2026 on a consolidated basis.</w:t>
            </w:r>
          </w:p>
        </w:tc>
        <w:tc>
          <w:tcPr>
            <w:tcW w:w="60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491.4</w:t>
            </w:r>
          </w:p>
        </w:tc>
      </w:tr>
      <w:tr>
        <w:trPr/>
        <w:tc>
          <w:tcPr>
            <w:tcW w:w="974"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LAPLACE</w:t>
            </w:r>
          </w:p>
        </w:tc>
        <w:tc>
          <w:tcPr>
            <w:tcW w:w="9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125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Listed in late 2024.</w:t>
            </w:r>
          </w:p>
        </w:tc>
        <w:tc>
          <w:tcPr>
            <w:tcW w:w="113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 RMB300 million in 1H 2026.</w:t>
            </w:r>
          </w:p>
        </w:tc>
        <w:tc>
          <w:tcPr>
            <w:tcW w:w="35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JKS disposed of a substantial portion of its equity interest in 1H 2026. Cumulative realized gain on this disposal since initial investment exceeded RMB250 million, net of original cost and transaction fees.</w:t>
            </w:r>
          </w:p>
        </w:tc>
        <w:tc>
          <w:tcPr>
            <w:tcW w:w="169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 RMB100 million in 1H 2026 on a consolidated basis.</w:t>
            </w:r>
          </w:p>
        </w:tc>
        <w:tc>
          <w:tcPr>
            <w:tcW w:w="60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46.2</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Gross Initial Investment Amount represents the aggregate capital deployed, including amounts attributable to third-party investors in participating funds or investment vehicles.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Fair-value Gain was reflected in change in fair value of long-term investment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has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View original content: </w:t>
      </w:r>
      <w:r>
        <w:rPr>
          <w:rFonts w:ascii="Times New Roman;Times;Serif" w:hAnsi="Times New Roman;Times;Serif"/>
          <w:b w:val="false"/>
          <w:i w:val="false"/>
          <w:caps w:val="false"/>
          <w:smallCaps w:val="false"/>
          <w:sz w:val="20"/>
          <w:u w:val="single"/>
        </w:rPr>
        <w:t>https://www.prnewswire.com/news-releases/jinkosolar-announces-proposed-change-of-company-name-to-jinko-holdings-limited-and-provides-strategic-investment-update-302873616.html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JinkoSolar Holding Co., Ltd.</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4509</Words>
  <Characters>25052</Characters>
  <CharactersWithSpaces>29509</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