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Siew Wing Keong</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JinkoSolar Holding Co.,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JKS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66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800" w:type="dxa"/>
            <w:vAlign w:val="bottom"/>
            <w:tcBorders>
              <w:bottom w:val="single" w:sz="8" w:color="0000EE"/>
            </w:tcBorders>
          </w:tcPr>
          <w:p>
            <w:pPr>
              <w:spacing w:after="0"/>
              <w:rPr>
                <w:sz w:val="6"/>
                <w:szCs w:val="6"/>
                <w:color w:val="auto"/>
              </w:rPr>
            </w:pPr>
          </w:p>
        </w:tc>
        <w:tc>
          <w:tcPr>
            <w:tcW w:w="280" w:type="dxa"/>
            <w:vAlign w:val="bottom"/>
            <w:tcBorders>
              <w:bottom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260" w:type="dxa"/>
            <w:vAlign w:val="bottom"/>
            <w:tcBorders>
              <w:top w:val="single" w:sz="8" w:color="EEEEEE"/>
            </w:tcBorders>
          </w:tcPr>
          <w:p>
            <w:pPr>
              <w:spacing w:after="0"/>
              <w:rPr>
                <w:sz w:val="4"/>
                <w:szCs w:val="4"/>
                <w:color w:val="auto"/>
              </w:rPr>
            </w:pPr>
          </w:p>
        </w:tc>
        <w:tc>
          <w:tcPr>
            <w:tcW w:w="140" w:type="dxa"/>
            <w:vAlign w:val="bottom"/>
            <w:tcBorders>
              <w:top w:val="single" w:sz="8" w:color="EEEEEE"/>
            </w:tcBorders>
          </w:tcPr>
          <w:p>
            <w:pPr>
              <w:spacing w:after="0"/>
              <w:rPr>
                <w:sz w:val="4"/>
                <w:szCs w:val="4"/>
                <w:color w:val="auto"/>
              </w:rPr>
            </w:pPr>
          </w:p>
        </w:tc>
        <w:tc>
          <w:tcPr>
            <w:tcW w:w="7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 YINGBIN ROAD</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5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05/13/2026</w:t>
            </w: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SHANGRAO ECONOMIC DEVELOPMENT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line="187" w:lineRule="exact"/>
              <w:rPr>
                <w:sz w:val="20"/>
                <w:szCs w:val="20"/>
                <w:color w:val="auto"/>
              </w:rPr>
            </w:pPr>
            <w:r>
              <w:rPr>
                <w:rFonts w:ascii="Times New Roman" w:cs="Times New Roman" w:eastAsia="Times New Roman" w:hAnsi="Times New Roman"/>
                <w:sz w:val="17"/>
                <w:szCs w:val="17"/>
                <w:color w:val="0000FF"/>
              </w:rPr>
              <w:t>ZONE</w:t>
            </w: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6"/>
                <w:szCs w:val="16"/>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JIANGXI</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F4</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334100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gridSpan w:val="2"/>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3"/>
          </w:tcPr>
          <w:p>
            <w:pPr>
              <w:spacing w:after="0"/>
              <w:rPr>
                <w:sz w:val="10"/>
                <w:szCs w:val="10"/>
                <w:color w:val="auto"/>
              </w:rPr>
            </w:pPr>
          </w:p>
        </w:tc>
        <w:tc>
          <w:tcPr>
            <w:tcW w:w="1120" w:type="dxa"/>
            <w:vAlign w:val="bottom"/>
            <w:tcBorders>
              <w:bottom w:val="single" w:sz="8" w:color="2C2C2C"/>
            </w:tcBorders>
            <w:gridSpan w:val="3"/>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9"/>
          </w:tcPr>
          <w:p>
            <w:pPr>
              <w:ind w:lef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60" w:type="dxa"/>
            <w:vAlign w:val="bottom"/>
            <w:gridSpan w:val="5"/>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4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Ordinary Shares (represented by</w:t>
            </w:r>
          </w:p>
        </w:tc>
        <w:tc>
          <w:tcPr>
            <w:tcW w:w="1760" w:type="dxa"/>
            <w:vAlign w:val="bottom"/>
            <w:gridSpan w:val="5"/>
            <w:vMerge w:val="restart"/>
          </w:tcPr>
          <w:p>
            <w:pPr>
              <w:ind w:left="760"/>
              <w:spacing w:after="0"/>
              <w:rPr>
                <w:sz w:val="20"/>
                <w:szCs w:val="20"/>
                <w:color w:val="auto"/>
              </w:rPr>
            </w:pPr>
            <w:r>
              <w:rPr>
                <w:rFonts w:ascii="Times New Roman" w:cs="Times New Roman" w:eastAsia="Times New Roman" w:hAnsi="Times New Roman"/>
                <w:sz w:val="17"/>
                <w:szCs w:val="17"/>
                <w:color w:val="0000FF"/>
              </w:rPr>
              <w:t>05/13/2026</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34"/>
                <w:szCs w:val="34"/>
                <w:color w:val="0000FF"/>
                <w:w w:val="86"/>
                <w:vertAlign w:val="subscript"/>
              </w:rPr>
              <w:t>16,000</w:t>
            </w:r>
            <w:r>
              <w:rPr>
                <w:rFonts w:ascii="Times New Roman" w:cs="Times New Roman" w:eastAsia="Times New Roman" w:hAnsi="Times New Roman"/>
                <w:sz w:val="11"/>
                <w:szCs w:val="11"/>
                <w:color w:val="008000"/>
                <w:w w:val="86"/>
              </w:rPr>
              <w:t>(1)(2)</w:t>
            </w:r>
          </w:p>
        </w:tc>
        <w:tc>
          <w:tcPr>
            <w:tcW w:w="42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4"/>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26.11</w:t>
            </w:r>
            <w:r>
              <w:rPr>
                <w:rFonts w:ascii="Times New Roman" w:cs="Times New Roman" w:eastAsia="Times New Roman" w:hAnsi="Times New Roman"/>
                <w:sz w:val="22"/>
                <w:szCs w:val="22"/>
                <w:color w:val="008000"/>
                <w:vertAlign w:val="superscript"/>
              </w:rPr>
              <w:t>(3)</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186,000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r>
              <w:rPr>
                <w:rFonts w:ascii="Times New Roman" w:cs="Times New Roman" w:eastAsia="Times New Roman" w:hAnsi="Times New Roman"/>
                <w:sz w:val="22"/>
                <w:szCs w:val="22"/>
                <w:color w:val="008000"/>
                <w:vertAlign w:val="superscript"/>
              </w:rPr>
              <w:t>(1)</w:t>
            </w:r>
          </w:p>
        </w:tc>
        <w:tc>
          <w:tcPr>
            <w:tcW w:w="1760" w:type="dxa"/>
            <w:vAlign w:val="bottom"/>
            <w:gridSpan w:val="5"/>
            <w:vMerge w:val="continue"/>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40" w:type="dxa"/>
            <w:vAlign w:val="bottom"/>
            <w:gridSpan w:val="4"/>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2400" w:type="dxa"/>
            <w:vAlign w:val="bottom"/>
            <w:tcBorders>
              <w:bottom w:val="single" w:sz="8" w:color="2C2C2C"/>
            </w:tcBorders>
            <w:gridSpan w:val="6"/>
            <w:vMerge w:val="continue"/>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Shares ("ADSs") represents four ordinary shares of the Issuer, par value US$0.00002 per share.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ordinary shares of the Issuer sold were in the form of ADSs.</w:t>
      </w:r>
    </w:p>
    <w:p>
      <w:pPr>
        <w:spacing w:after="0" w:line="50" w:lineRule="exact"/>
        <w:rPr>
          <w:rFonts w:ascii="Times New Roman" w:cs="Times New Roman" w:eastAsia="Times New Roman" w:hAnsi="Times New Roman"/>
          <w:sz w:val="13"/>
          <w:szCs w:val="13"/>
          <w:color w:val="008000"/>
        </w:rPr>
      </w:pPr>
    </w:p>
    <w:p>
      <w:pPr>
        <w:jc w:val="both"/>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the price of each ADS sold. This transaction was executed in multiple trades at prices ranging from $26.00 to $26.29; the price reported above reflects the weighted average sale price. The reporting person hereby undertakes to provide full information regarding the number of shares and prices at which the transactions were effected upon request to the SEC staff, the Issuer, or a security holder of the Issuer.</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Siew Wing Keong</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05/15/2026</w:t>
            </w:r>
          </w:p>
        </w:tc>
      </w:tr>
      <w:tr>
        <w:trPr>
          <w:trHeight w:val="20"/>
        </w:trPr>
        <w:tc>
          <w:tcPr>
            <w:tcW w:w="1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85403" TargetMode="External"/><Relationship Id="rId14" Type="http://schemas.openxmlformats.org/officeDocument/2006/relationships/hyperlink" Target="http://www.sec.gov/cgi-bin/browse-edgar?action=getcompany&amp;CIK=00014815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2026-05-15T06:43:56Z</dcterms:created>
  <dcterms:modified xsi:type="dcterms:W3CDTF">2026-05-15T06:43:56Z</dcterms:modified>
</cp:coreProperties>
</file>